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7F35A" w14:textId="77777777" w:rsidR="00A14EC9" w:rsidRDefault="00A14EC9" w:rsidP="00A14EC9">
      <w:pPr>
        <w:pStyle w:val="Heading1"/>
        <w:spacing w:before="0"/>
        <w:jc w:val="center"/>
        <w:rPr>
          <w:rFonts w:ascii="Source Sans Pro" w:hAnsi="Source Sans Pro"/>
        </w:rPr>
      </w:pPr>
      <w:r w:rsidRPr="00FB112C">
        <w:rPr>
          <w:rFonts w:ascii="Source Sans Pro" w:hAnsi="Source Sans Pro"/>
          <w:i/>
          <w:iCs/>
        </w:rPr>
        <w:t xml:space="preserve">Waratah Coal Pty Ltd v Youth Verdict Ltd &amp; </w:t>
      </w:r>
      <w:proofErr w:type="spellStart"/>
      <w:r w:rsidRPr="00FB112C">
        <w:rPr>
          <w:rFonts w:ascii="Source Sans Pro" w:hAnsi="Source Sans Pro"/>
          <w:i/>
          <w:iCs/>
        </w:rPr>
        <w:t>Ors</w:t>
      </w:r>
      <w:proofErr w:type="spellEnd"/>
      <w:r w:rsidRPr="00FB112C">
        <w:rPr>
          <w:rFonts w:ascii="Source Sans Pro" w:hAnsi="Source Sans Pro"/>
          <w:i/>
          <w:iCs/>
        </w:rPr>
        <w:t xml:space="preserve"> (No 6)</w:t>
      </w:r>
      <w:r w:rsidRPr="00E30221">
        <w:rPr>
          <w:rFonts w:ascii="Source Sans Pro" w:hAnsi="Source Sans Pro"/>
        </w:rPr>
        <w:t xml:space="preserve"> [2022] QLC 21</w:t>
      </w:r>
    </w:p>
    <w:p w14:paraId="5CCFA9D2" w14:textId="77777777" w:rsidR="00A14EC9" w:rsidRPr="00E30221" w:rsidRDefault="00A14EC9" w:rsidP="00A14EC9">
      <w:pPr>
        <w:jc w:val="center"/>
      </w:pPr>
    </w:p>
    <w:p w14:paraId="25B2CD3C" w14:textId="3C66D70E" w:rsidR="00A14EC9" w:rsidRDefault="002B1F70" w:rsidP="00A14EC9">
      <w:pPr>
        <w:jc w:val="center"/>
        <w:rPr>
          <w:rFonts w:ascii="Source Sans Pro" w:hAnsi="Source Sans Pro"/>
          <w:color w:val="2F5496" w:themeColor="accent1" w:themeShade="BF"/>
          <w:sz w:val="32"/>
          <w:szCs w:val="32"/>
        </w:rPr>
      </w:pPr>
      <w:r>
        <w:rPr>
          <w:rFonts w:ascii="Source Sans Pro" w:hAnsi="Source Sans Pro"/>
          <w:color w:val="2F5496" w:themeColor="accent1" w:themeShade="BF"/>
          <w:sz w:val="32"/>
          <w:szCs w:val="32"/>
        </w:rPr>
        <w:t xml:space="preserve">‘Bimblebox </w:t>
      </w:r>
      <w:r w:rsidR="00A14EC9" w:rsidRPr="00E30221">
        <w:rPr>
          <w:rFonts w:ascii="Source Sans Pro" w:hAnsi="Source Sans Pro"/>
          <w:color w:val="2F5496" w:themeColor="accent1" w:themeShade="BF"/>
          <w:sz w:val="32"/>
          <w:szCs w:val="32"/>
        </w:rPr>
        <w:t>Case</w:t>
      </w:r>
      <w:r w:rsidR="008D1EA3">
        <w:rPr>
          <w:rFonts w:ascii="Source Sans Pro" w:hAnsi="Source Sans Pro"/>
          <w:color w:val="2F5496" w:themeColor="accent1" w:themeShade="BF"/>
          <w:sz w:val="32"/>
          <w:szCs w:val="32"/>
        </w:rPr>
        <w:t>’</w:t>
      </w:r>
      <w:r w:rsidR="00A14EC9" w:rsidRPr="00E30221">
        <w:rPr>
          <w:rFonts w:ascii="Source Sans Pro" w:hAnsi="Source Sans Pro"/>
          <w:color w:val="2F5496" w:themeColor="accent1" w:themeShade="BF"/>
          <w:sz w:val="32"/>
          <w:szCs w:val="32"/>
        </w:rPr>
        <w:t xml:space="preserve"> Summary</w:t>
      </w:r>
    </w:p>
    <w:p w14:paraId="4C7FAF2C" w14:textId="2A07EB1C" w:rsidR="00746DB8" w:rsidRPr="00E30221" w:rsidRDefault="00746DB8" w:rsidP="00A14EC9">
      <w:pPr>
        <w:jc w:val="center"/>
        <w:rPr>
          <w:rFonts w:ascii="Source Sans Pro" w:hAnsi="Source Sans Pro"/>
          <w:color w:val="2F5496" w:themeColor="accent1" w:themeShade="BF"/>
          <w:sz w:val="32"/>
          <w:szCs w:val="32"/>
        </w:rPr>
      </w:pPr>
      <w:r>
        <w:rPr>
          <w:rFonts w:ascii="Source Sans Pro" w:hAnsi="Source Sans Pro"/>
          <w:color w:val="2F5496" w:themeColor="accent1" w:themeShade="BF"/>
          <w:sz w:val="32"/>
          <w:szCs w:val="32"/>
        </w:rPr>
        <w:t>17 January 2023</w:t>
      </w:r>
    </w:p>
    <w:p w14:paraId="7736AC24" w14:textId="77777777" w:rsidR="0052752E" w:rsidRDefault="0052752E" w:rsidP="00460D1F">
      <w:pPr>
        <w:ind w:left="720"/>
        <w:rPr>
          <w:i/>
          <w:iCs/>
          <w:sz w:val="22"/>
          <w:szCs w:val="22"/>
        </w:rPr>
      </w:pPr>
    </w:p>
    <w:p w14:paraId="4B341E0A" w14:textId="21A94E89" w:rsidR="00460D1F" w:rsidRPr="00B11263" w:rsidRDefault="00460D1F" w:rsidP="00460D1F">
      <w:pPr>
        <w:ind w:left="720"/>
        <w:rPr>
          <w:rFonts w:ascii="Source Sans Pro" w:hAnsi="Source Sans Pro"/>
          <w:sz w:val="22"/>
          <w:szCs w:val="22"/>
        </w:rPr>
      </w:pPr>
      <w:r w:rsidRPr="002B534F">
        <w:rPr>
          <w:rStyle w:val="IntenseEmphasis"/>
          <w:rFonts w:ascii="Source Sans Pro" w:hAnsi="Source Sans Pro"/>
          <w:noProof/>
          <w:sz w:val="28"/>
          <w:szCs w:val="28"/>
        </w:rPr>
        <mc:AlternateContent>
          <mc:Choice Requires="wps">
            <w:drawing>
              <wp:anchor distT="45720" distB="45720" distL="114300" distR="114300" simplePos="0" relativeHeight="251658240" behindDoc="0" locked="0" layoutInCell="1" allowOverlap="1" wp14:anchorId="32639177" wp14:editId="69D384D6">
                <wp:simplePos x="0" y="0"/>
                <wp:positionH relativeFrom="column">
                  <wp:posOffset>262255</wp:posOffset>
                </wp:positionH>
                <wp:positionV relativeFrom="paragraph">
                  <wp:posOffset>570230</wp:posOffset>
                </wp:positionV>
                <wp:extent cx="5379720" cy="1404620"/>
                <wp:effectExtent l="0" t="0" r="1143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04620"/>
                        </a:xfrm>
                        <a:prstGeom prst="rect">
                          <a:avLst/>
                        </a:prstGeom>
                        <a:solidFill>
                          <a:srgbClr val="FFFFFF"/>
                        </a:solidFill>
                        <a:ln w="9525">
                          <a:solidFill>
                            <a:srgbClr val="000000"/>
                          </a:solidFill>
                          <a:miter lim="800000"/>
                          <a:headEnd/>
                          <a:tailEnd/>
                        </a:ln>
                      </wps:spPr>
                      <wps:txbx>
                        <w:txbxContent>
                          <w:p w14:paraId="041F2A63" w14:textId="69D10163" w:rsidR="002B534F" w:rsidRDefault="00BA1ABD" w:rsidP="002E1A61">
                            <w:r w:rsidRPr="00BA1ABD">
                              <w:rPr>
                                <w:rFonts w:ascii="Source Sans Pro" w:hAnsi="Source Sans Pro"/>
                                <w:b/>
                                <w:bCs/>
                                <w:sz w:val="22"/>
                                <w:szCs w:val="22"/>
                              </w:rPr>
                              <w:t>In a nutshell:</w:t>
                            </w:r>
                            <w:r>
                              <w:rPr>
                                <w:rFonts w:ascii="Source Sans Pro" w:hAnsi="Source Sans Pro"/>
                                <w:sz w:val="22"/>
                                <w:szCs w:val="22"/>
                              </w:rPr>
                              <w:t xml:space="preserve"> </w:t>
                            </w:r>
                            <w:r w:rsidR="002B534F">
                              <w:rPr>
                                <w:rFonts w:ascii="Source Sans Pro" w:hAnsi="Source Sans Pro"/>
                                <w:sz w:val="22"/>
                                <w:szCs w:val="22"/>
                              </w:rPr>
                              <w:t xml:space="preserve">On 25 November 2022, local landholders and First Nations peoples </w:t>
                            </w:r>
                            <w:r w:rsidR="00C16BB9">
                              <w:rPr>
                                <w:rFonts w:ascii="Source Sans Pro" w:hAnsi="Source Sans Pro"/>
                                <w:sz w:val="22"/>
                                <w:szCs w:val="22"/>
                              </w:rPr>
                              <w:t>across</w:t>
                            </w:r>
                            <w:r w:rsidR="002B534F">
                              <w:rPr>
                                <w:rFonts w:ascii="Source Sans Pro" w:hAnsi="Source Sans Pro"/>
                                <w:sz w:val="22"/>
                                <w:szCs w:val="22"/>
                              </w:rPr>
                              <w:t xml:space="preserve"> Queensland secured a historic legal victory. The Land Court recommended refusal of Clive Palmer’s Galilee Coal Project on biodiversity, climate change and human rights grounds.</w:t>
                            </w:r>
                            <w:r w:rsidR="001A5038">
                              <w:rPr>
                                <w:rFonts w:ascii="Source Sans Pro" w:hAnsi="Source Sans Pro"/>
                                <w:sz w:val="22"/>
                                <w:szCs w:val="22"/>
                              </w:rPr>
                              <w:t xml:space="preserve"> </w:t>
                            </w:r>
                            <w:r w:rsidR="001E3044">
                              <w:rPr>
                                <w:rFonts w:ascii="Source Sans Pro" w:hAnsi="Source Sans Pro"/>
                                <w:sz w:val="22"/>
                                <w:szCs w:val="22"/>
                              </w:rPr>
                              <w:t xml:space="preserve">The </w:t>
                            </w:r>
                            <w:r w:rsidR="00371879">
                              <w:rPr>
                                <w:rFonts w:ascii="Source Sans Pro" w:hAnsi="Source Sans Pro"/>
                                <w:sz w:val="22"/>
                                <w:szCs w:val="22"/>
                              </w:rPr>
                              <w:t xml:space="preserve">Court’s </w:t>
                            </w:r>
                            <w:r w:rsidR="001E3044">
                              <w:rPr>
                                <w:rFonts w:ascii="Source Sans Pro" w:hAnsi="Source Sans Pro"/>
                                <w:sz w:val="22"/>
                                <w:szCs w:val="22"/>
                              </w:rPr>
                              <w:t xml:space="preserve">decision is under appeal and </w:t>
                            </w:r>
                            <w:r w:rsidR="001A5038">
                              <w:rPr>
                                <w:rFonts w:ascii="Source Sans Pro" w:hAnsi="Source Sans Pro"/>
                                <w:sz w:val="22"/>
                                <w:szCs w:val="22"/>
                              </w:rPr>
                              <w:t>the Queensland Government</w:t>
                            </w:r>
                            <w:r w:rsidR="002A7F9C">
                              <w:rPr>
                                <w:rFonts w:ascii="Source Sans Pro" w:hAnsi="Source Sans Pro"/>
                                <w:sz w:val="22"/>
                                <w:szCs w:val="22"/>
                              </w:rPr>
                              <w:t xml:space="preserve"> has not yet followed the recommendation of refusal.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639177" id="_x0000_t202" coordsize="21600,21600" o:spt="202" path="m,l,21600r21600,l21600,xe">
                <v:stroke joinstyle="miter"/>
                <v:path gradientshapeok="t" o:connecttype="rect"/>
              </v:shapetype>
              <v:shape id="Text Box 2" o:spid="_x0000_s1026" type="#_x0000_t202" style="position:absolute;left:0;text-align:left;margin-left:20.65pt;margin-top:44.9pt;width:423.6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">
                <v:textbox style="mso-fit-shape-to-text:t">
                  <w:txbxContent>
                    <w:p w14:paraId="041F2A63" w14:textId="69D10163" w:rsidR="002B534F" w:rsidRDefault="00BA1ABD" w:rsidP="002E1A61">
                      <w:r w:rsidRPr="00BA1ABD">
                        <w:rPr>
                          <w:rFonts w:ascii="Source Sans Pro" w:hAnsi="Source Sans Pro"/>
                          <w:b/>
                          <w:bCs/>
                          <w:sz w:val="22"/>
                          <w:szCs w:val="22"/>
                        </w:rPr>
                        <w:t>In a nutshell:</w:t>
                      </w:r>
                      <w:r>
                        <w:rPr>
                          <w:rFonts w:ascii="Source Sans Pro" w:hAnsi="Source Sans Pro"/>
                          <w:sz w:val="22"/>
                          <w:szCs w:val="22"/>
                        </w:rPr>
                        <w:t xml:space="preserve"> </w:t>
                      </w:r>
                      <w:r w:rsidR="002B534F">
                        <w:rPr>
                          <w:rFonts w:ascii="Source Sans Pro" w:hAnsi="Source Sans Pro"/>
                          <w:sz w:val="22"/>
                          <w:szCs w:val="22"/>
                        </w:rPr>
                        <w:t xml:space="preserve">On 25 November 2022, local landholders and First Nations peoples </w:t>
                      </w:r>
                      <w:r w:rsidR="00C16BB9">
                        <w:rPr>
                          <w:rFonts w:ascii="Source Sans Pro" w:hAnsi="Source Sans Pro"/>
                          <w:sz w:val="22"/>
                          <w:szCs w:val="22"/>
                        </w:rPr>
                        <w:t>across</w:t>
                      </w:r>
                      <w:r w:rsidR="002B534F">
                        <w:rPr>
                          <w:rFonts w:ascii="Source Sans Pro" w:hAnsi="Source Sans Pro"/>
                          <w:sz w:val="22"/>
                          <w:szCs w:val="22"/>
                        </w:rPr>
                        <w:t xml:space="preserve"> Queensland secured a historic legal victory. The Land Court recommended refusal of Clive Palmer’s Galilee Coal Project on biodiversity, climate change and human rights grounds.</w:t>
                      </w:r>
                      <w:r w:rsidR="001A5038">
                        <w:rPr>
                          <w:rFonts w:ascii="Source Sans Pro" w:hAnsi="Source Sans Pro"/>
                          <w:sz w:val="22"/>
                          <w:szCs w:val="22"/>
                        </w:rPr>
                        <w:t xml:space="preserve"> </w:t>
                      </w:r>
                      <w:r w:rsidR="001E3044">
                        <w:rPr>
                          <w:rFonts w:ascii="Source Sans Pro" w:hAnsi="Source Sans Pro"/>
                          <w:sz w:val="22"/>
                          <w:szCs w:val="22"/>
                        </w:rPr>
                        <w:t xml:space="preserve">The </w:t>
                      </w:r>
                      <w:r w:rsidR="00371879">
                        <w:rPr>
                          <w:rFonts w:ascii="Source Sans Pro" w:hAnsi="Source Sans Pro"/>
                          <w:sz w:val="22"/>
                          <w:szCs w:val="22"/>
                        </w:rPr>
                        <w:t xml:space="preserve">Court’s </w:t>
                      </w:r>
                      <w:r w:rsidR="001E3044">
                        <w:rPr>
                          <w:rFonts w:ascii="Source Sans Pro" w:hAnsi="Source Sans Pro"/>
                          <w:sz w:val="22"/>
                          <w:szCs w:val="22"/>
                        </w:rPr>
                        <w:t xml:space="preserve">decision is under appeal and </w:t>
                      </w:r>
                      <w:r w:rsidR="001A5038">
                        <w:rPr>
                          <w:rFonts w:ascii="Source Sans Pro" w:hAnsi="Source Sans Pro"/>
                          <w:sz w:val="22"/>
                          <w:szCs w:val="22"/>
                        </w:rPr>
                        <w:t>the Queensland Government</w:t>
                      </w:r>
                      <w:r w:rsidR="002A7F9C">
                        <w:rPr>
                          <w:rFonts w:ascii="Source Sans Pro" w:hAnsi="Source Sans Pro"/>
                          <w:sz w:val="22"/>
                          <w:szCs w:val="22"/>
                        </w:rPr>
                        <w:t xml:space="preserve"> has not yet followed the recommendation of refusal.</w:t>
                      </w:r>
                    </w:p>
                  </w:txbxContent>
                </v:textbox>
                <w10:wrap type="square"/>
              </v:shape>
            </w:pict>
          </mc:Fallback>
        </mc:AlternateContent>
      </w:r>
      <w:r w:rsidRPr="00FD4A7B">
        <w:rPr>
          <w:i/>
          <w:iCs/>
          <w:sz w:val="22"/>
          <w:szCs w:val="22"/>
        </w:rPr>
        <w:t>“Humans have firmly got our hands on the temperature knob of the world by our CO</w:t>
      </w:r>
      <w:r w:rsidRPr="00FD4A7B">
        <w:rPr>
          <w:i/>
          <w:iCs/>
          <w:sz w:val="14"/>
          <w:szCs w:val="14"/>
        </w:rPr>
        <w:t xml:space="preserve">2 </w:t>
      </w:r>
      <w:r w:rsidRPr="00FD4A7B">
        <w:rPr>
          <w:i/>
          <w:iCs/>
          <w:sz w:val="22"/>
          <w:szCs w:val="22"/>
        </w:rPr>
        <w:t>emissions and every tonne of emissions counts”</w:t>
      </w:r>
      <w:r>
        <w:rPr>
          <w:i/>
          <w:iCs/>
          <w:sz w:val="22"/>
          <w:szCs w:val="22"/>
        </w:rPr>
        <w:t xml:space="preserve"> </w:t>
      </w:r>
      <w:r w:rsidR="002E1A61">
        <w:rPr>
          <w:sz w:val="22"/>
          <w:szCs w:val="22"/>
        </w:rPr>
        <w:t xml:space="preserve">- </w:t>
      </w:r>
      <w:r>
        <w:rPr>
          <w:sz w:val="22"/>
          <w:szCs w:val="22"/>
        </w:rPr>
        <w:t>Professor Church as quoted in the decision.</w:t>
      </w:r>
    </w:p>
    <w:p w14:paraId="4A3231D5" w14:textId="22B2EE1C" w:rsidR="006D2591" w:rsidRDefault="006D2591" w:rsidP="00A14EC9">
      <w:pPr>
        <w:rPr>
          <w:rStyle w:val="IntenseEmphasis"/>
          <w:rFonts w:ascii="Source Sans Pro" w:hAnsi="Source Sans Pro"/>
          <w:sz w:val="28"/>
          <w:szCs w:val="28"/>
        </w:rPr>
      </w:pPr>
    </w:p>
    <w:p w14:paraId="57783882" w14:textId="02AEA75A" w:rsidR="00A14EC9" w:rsidRPr="007457F0" w:rsidRDefault="00A14EC9" w:rsidP="00A14EC9">
      <w:pPr>
        <w:rPr>
          <w:rStyle w:val="IntenseEmphasis"/>
          <w:rFonts w:ascii="Source Sans Pro" w:hAnsi="Source Sans Pro"/>
          <w:sz w:val="28"/>
          <w:szCs w:val="28"/>
        </w:rPr>
      </w:pPr>
      <w:r w:rsidRPr="007457F0">
        <w:rPr>
          <w:rStyle w:val="IntenseEmphasis"/>
          <w:rFonts w:ascii="Source Sans Pro" w:hAnsi="Source Sans Pro"/>
          <w:sz w:val="28"/>
          <w:szCs w:val="28"/>
        </w:rPr>
        <w:t>Executive Summary</w:t>
      </w:r>
    </w:p>
    <w:p w14:paraId="3E6054E2" w14:textId="5E7DD488" w:rsidR="00DF6B42" w:rsidRDefault="0012087A" w:rsidP="00C17FFB">
      <w:pPr>
        <w:rPr>
          <w:rFonts w:ascii="Source Sans Pro" w:hAnsi="Source Sans Pro"/>
          <w:sz w:val="22"/>
          <w:szCs w:val="22"/>
        </w:rPr>
      </w:pPr>
      <w:r>
        <w:rPr>
          <w:rFonts w:ascii="Source Sans Pro" w:hAnsi="Source Sans Pro"/>
          <w:sz w:val="22"/>
          <w:szCs w:val="22"/>
        </w:rPr>
        <w:t>The Bimblebox Nature Refuge</w:t>
      </w:r>
      <w:r w:rsidR="00112AD2">
        <w:rPr>
          <w:rFonts w:ascii="Source Sans Pro" w:hAnsi="Source Sans Pro"/>
          <w:sz w:val="22"/>
          <w:szCs w:val="22"/>
        </w:rPr>
        <w:t>,</w:t>
      </w:r>
      <w:r w:rsidR="007E47E4">
        <w:rPr>
          <w:rFonts w:ascii="Source Sans Pro" w:hAnsi="Source Sans Pro"/>
          <w:sz w:val="22"/>
          <w:szCs w:val="22"/>
        </w:rPr>
        <w:t xml:space="preserve"> in central Queensland</w:t>
      </w:r>
      <w:r w:rsidR="00112AD2">
        <w:rPr>
          <w:rFonts w:ascii="Source Sans Pro" w:hAnsi="Source Sans Pro"/>
          <w:sz w:val="22"/>
          <w:szCs w:val="22"/>
        </w:rPr>
        <w:t>,</w:t>
      </w:r>
      <w:r w:rsidR="00F051F9">
        <w:rPr>
          <w:rFonts w:ascii="Source Sans Pro" w:hAnsi="Source Sans Pro"/>
          <w:sz w:val="22"/>
          <w:szCs w:val="22"/>
        </w:rPr>
        <w:t xml:space="preserve"> has</w:t>
      </w:r>
      <w:r>
        <w:rPr>
          <w:rFonts w:ascii="Source Sans Pro" w:hAnsi="Source Sans Pro"/>
          <w:sz w:val="22"/>
          <w:szCs w:val="22"/>
        </w:rPr>
        <w:t xml:space="preserve"> protect</w:t>
      </w:r>
      <w:r w:rsidR="0010350C">
        <w:rPr>
          <w:rFonts w:ascii="Source Sans Pro" w:hAnsi="Source Sans Pro"/>
          <w:sz w:val="22"/>
          <w:szCs w:val="22"/>
        </w:rPr>
        <w:t xml:space="preserve">ed </w:t>
      </w:r>
      <w:r w:rsidR="00F051F9">
        <w:rPr>
          <w:rFonts w:ascii="Source Sans Pro" w:hAnsi="Source Sans Pro"/>
          <w:sz w:val="22"/>
          <w:szCs w:val="22"/>
        </w:rPr>
        <w:t xml:space="preserve">quintessential Australian bush on </w:t>
      </w:r>
      <w:r w:rsidR="0010350C">
        <w:rPr>
          <w:rFonts w:ascii="Source Sans Pro" w:hAnsi="Source Sans Pro"/>
          <w:sz w:val="22"/>
          <w:szCs w:val="22"/>
        </w:rPr>
        <w:t xml:space="preserve">private land for over two decades through the </w:t>
      </w:r>
      <w:r w:rsidR="00445DAA">
        <w:rPr>
          <w:rFonts w:ascii="Source Sans Pro" w:hAnsi="Source Sans Pro"/>
          <w:sz w:val="22"/>
          <w:szCs w:val="22"/>
        </w:rPr>
        <w:t xml:space="preserve">tireless </w:t>
      </w:r>
      <w:r w:rsidR="0010350C">
        <w:rPr>
          <w:rFonts w:ascii="Source Sans Pro" w:hAnsi="Source Sans Pro"/>
          <w:sz w:val="22"/>
          <w:szCs w:val="22"/>
        </w:rPr>
        <w:t xml:space="preserve">efforts of its owners.  </w:t>
      </w:r>
      <w:r w:rsidR="007E47E4">
        <w:rPr>
          <w:rFonts w:ascii="Source Sans Pro" w:hAnsi="Source Sans Pro"/>
          <w:sz w:val="22"/>
          <w:szCs w:val="22"/>
        </w:rPr>
        <w:t xml:space="preserve"> </w:t>
      </w:r>
      <w:r w:rsidR="005D04E8">
        <w:rPr>
          <w:rFonts w:ascii="Source Sans Pro" w:hAnsi="Source Sans Pro"/>
          <w:sz w:val="22"/>
          <w:szCs w:val="22"/>
        </w:rPr>
        <w:t>In 2009</w:t>
      </w:r>
      <w:r w:rsidR="00D3072B">
        <w:rPr>
          <w:rFonts w:ascii="Source Sans Pro" w:hAnsi="Source Sans Pro"/>
          <w:sz w:val="22"/>
          <w:szCs w:val="22"/>
        </w:rPr>
        <w:t xml:space="preserve"> </w:t>
      </w:r>
      <w:r w:rsidR="005B0CB0">
        <w:rPr>
          <w:rFonts w:ascii="Source Sans Pro" w:hAnsi="Source Sans Pro"/>
          <w:sz w:val="22"/>
          <w:szCs w:val="22"/>
        </w:rPr>
        <w:t xml:space="preserve">Clive Palmer’s Waratah Coal Pty Ltd sought to mine the area of the nature refuge for </w:t>
      </w:r>
      <w:r w:rsidR="00861AD2">
        <w:rPr>
          <w:rFonts w:ascii="Source Sans Pro" w:hAnsi="Source Sans Pro"/>
          <w:sz w:val="22"/>
          <w:szCs w:val="22"/>
        </w:rPr>
        <w:t>thermal coal, to be burnt in Au</w:t>
      </w:r>
      <w:r w:rsidR="007B41B5">
        <w:rPr>
          <w:rFonts w:ascii="Source Sans Pro" w:hAnsi="Source Sans Pro"/>
          <w:sz w:val="22"/>
          <w:szCs w:val="22"/>
        </w:rPr>
        <w:t xml:space="preserve">stralia and overseas, contributing </w:t>
      </w:r>
      <w:r w:rsidR="005076F7">
        <w:rPr>
          <w:rFonts w:ascii="Source Sans Pro" w:hAnsi="Source Sans Pro"/>
          <w:sz w:val="22"/>
          <w:szCs w:val="22"/>
        </w:rPr>
        <w:t>to the impacts of climate change</w:t>
      </w:r>
      <w:r w:rsidR="00A652E6">
        <w:rPr>
          <w:rFonts w:ascii="Source Sans Pro" w:hAnsi="Source Sans Pro"/>
          <w:sz w:val="22"/>
          <w:szCs w:val="22"/>
        </w:rPr>
        <w:t xml:space="preserve">.  </w:t>
      </w:r>
    </w:p>
    <w:p w14:paraId="2F49AF18" w14:textId="77777777" w:rsidR="00DF6B42" w:rsidRDefault="00DF6B42" w:rsidP="00C17FFB">
      <w:pPr>
        <w:rPr>
          <w:rFonts w:ascii="Source Sans Pro" w:hAnsi="Source Sans Pro"/>
          <w:sz w:val="22"/>
          <w:szCs w:val="22"/>
        </w:rPr>
      </w:pPr>
    </w:p>
    <w:p w14:paraId="75BF5707" w14:textId="3C14F084" w:rsidR="00DF6B42" w:rsidRDefault="000E4BE2" w:rsidP="00C17FFB">
      <w:pPr>
        <w:rPr>
          <w:rFonts w:ascii="Source Sans Pro" w:hAnsi="Source Sans Pro"/>
          <w:sz w:val="22"/>
          <w:szCs w:val="22"/>
        </w:rPr>
      </w:pPr>
      <w:r>
        <w:rPr>
          <w:rFonts w:ascii="Source Sans Pro" w:hAnsi="Source Sans Pro"/>
          <w:sz w:val="22"/>
          <w:szCs w:val="22"/>
        </w:rPr>
        <w:t xml:space="preserve">To mine the coal Waratah required a mining lease </w:t>
      </w:r>
      <w:r w:rsidR="008559EC">
        <w:rPr>
          <w:rFonts w:ascii="Source Sans Pro" w:hAnsi="Source Sans Pro"/>
          <w:sz w:val="22"/>
          <w:szCs w:val="22"/>
        </w:rPr>
        <w:t xml:space="preserve">under the </w:t>
      </w:r>
      <w:r w:rsidR="008559EC" w:rsidRPr="008559EC">
        <w:rPr>
          <w:rFonts w:ascii="Source Sans Pro" w:hAnsi="Source Sans Pro"/>
          <w:i/>
          <w:iCs/>
          <w:sz w:val="22"/>
          <w:szCs w:val="22"/>
        </w:rPr>
        <w:t>Mineral Resources Act 1989</w:t>
      </w:r>
      <w:r w:rsidR="00434859">
        <w:rPr>
          <w:rFonts w:ascii="Source Sans Pro" w:hAnsi="Source Sans Pro"/>
          <w:i/>
          <w:iCs/>
          <w:sz w:val="22"/>
          <w:szCs w:val="22"/>
        </w:rPr>
        <w:t xml:space="preserve"> </w:t>
      </w:r>
      <w:r w:rsidR="00B514B6" w:rsidRPr="00B514B6">
        <w:rPr>
          <w:rFonts w:ascii="Source Sans Pro" w:hAnsi="Source Sans Pro"/>
          <w:i/>
          <w:iCs/>
          <w:sz w:val="22"/>
          <w:szCs w:val="22"/>
        </w:rPr>
        <w:t>(Qld)</w:t>
      </w:r>
      <w:r w:rsidR="00B514B6">
        <w:rPr>
          <w:rFonts w:ascii="Source Sans Pro" w:hAnsi="Source Sans Pro"/>
          <w:i/>
          <w:iCs/>
          <w:sz w:val="22"/>
          <w:szCs w:val="22"/>
        </w:rPr>
        <w:t xml:space="preserve"> </w:t>
      </w:r>
      <w:r>
        <w:rPr>
          <w:rFonts w:ascii="Source Sans Pro" w:hAnsi="Source Sans Pro"/>
          <w:sz w:val="22"/>
          <w:szCs w:val="22"/>
        </w:rPr>
        <w:t xml:space="preserve">and environmental authority </w:t>
      </w:r>
      <w:r w:rsidR="008559EC">
        <w:rPr>
          <w:rFonts w:ascii="Source Sans Pro" w:hAnsi="Source Sans Pro"/>
          <w:sz w:val="22"/>
          <w:szCs w:val="22"/>
        </w:rPr>
        <w:t xml:space="preserve">under the </w:t>
      </w:r>
      <w:r w:rsidR="008559EC" w:rsidRPr="008559EC">
        <w:rPr>
          <w:rFonts w:ascii="Source Sans Pro" w:hAnsi="Source Sans Pro"/>
          <w:i/>
          <w:iCs/>
          <w:sz w:val="22"/>
          <w:szCs w:val="22"/>
        </w:rPr>
        <w:t>Environmental Protection Act 1994</w:t>
      </w:r>
      <w:r w:rsidR="00434859">
        <w:rPr>
          <w:rFonts w:ascii="Source Sans Pro" w:hAnsi="Source Sans Pro"/>
          <w:i/>
          <w:iCs/>
          <w:sz w:val="22"/>
          <w:szCs w:val="22"/>
        </w:rPr>
        <w:t xml:space="preserve"> </w:t>
      </w:r>
      <w:r w:rsidR="00B514B6">
        <w:rPr>
          <w:rFonts w:ascii="Source Sans Pro" w:hAnsi="Source Sans Pro"/>
          <w:i/>
          <w:iCs/>
          <w:sz w:val="22"/>
          <w:szCs w:val="22"/>
        </w:rPr>
        <w:t>(Qld)</w:t>
      </w:r>
      <w:r w:rsidR="008559EC">
        <w:rPr>
          <w:rFonts w:ascii="Source Sans Pro" w:hAnsi="Source Sans Pro"/>
          <w:sz w:val="22"/>
          <w:szCs w:val="22"/>
        </w:rPr>
        <w:t>.</w:t>
      </w:r>
      <w:r w:rsidR="00792970">
        <w:rPr>
          <w:rFonts w:ascii="Source Sans Pro" w:hAnsi="Source Sans Pro"/>
          <w:sz w:val="22"/>
          <w:szCs w:val="22"/>
        </w:rPr>
        <w:t xml:space="preserve">  The Bimblebox Alliance Inc and joined forces </w:t>
      </w:r>
      <w:r w:rsidR="001B4CE1">
        <w:rPr>
          <w:rFonts w:ascii="Source Sans Pro" w:hAnsi="Source Sans Pro"/>
          <w:sz w:val="22"/>
          <w:szCs w:val="22"/>
        </w:rPr>
        <w:t>Youth Verdict Ltd</w:t>
      </w:r>
      <w:r w:rsidR="00186F25">
        <w:rPr>
          <w:rFonts w:ascii="Source Sans Pro" w:hAnsi="Source Sans Pro"/>
          <w:sz w:val="22"/>
          <w:szCs w:val="22"/>
        </w:rPr>
        <w:t>,</w:t>
      </w:r>
      <w:r w:rsidR="001B4CE1">
        <w:rPr>
          <w:rFonts w:ascii="Source Sans Pro" w:hAnsi="Source Sans Pro"/>
          <w:sz w:val="22"/>
          <w:szCs w:val="22"/>
        </w:rPr>
        <w:t xml:space="preserve"> a First Nations led youth organisation concerned about the impacts of climate change,</w:t>
      </w:r>
      <w:r w:rsidR="00186F25">
        <w:rPr>
          <w:rFonts w:ascii="Source Sans Pro" w:hAnsi="Source Sans Pro"/>
          <w:sz w:val="22"/>
          <w:szCs w:val="22"/>
        </w:rPr>
        <w:t xml:space="preserve"> </w:t>
      </w:r>
      <w:r w:rsidR="00792970">
        <w:rPr>
          <w:rFonts w:ascii="Source Sans Pro" w:hAnsi="Source Sans Pro"/>
          <w:sz w:val="22"/>
          <w:szCs w:val="22"/>
        </w:rPr>
        <w:t>to object to the grant of the ML and EA</w:t>
      </w:r>
      <w:r w:rsidR="0099166E">
        <w:rPr>
          <w:rFonts w:ascii="Source Sans Pro" w:hAnsi="Source Sans Pro"/>
          <w:sz w:val="22"/>
          <w:szCs w:val="22"/>
        </w:rPr>
        <w:t xml:space="preserve">.  The objection was heard </w:t>
      </w:r>
      <w:r w:rsidR="00B73225">
        <w:rPr>
          <w:rFonts w:ascii="Source Sans Pro" w:hAnsi="Source Sans Pro"/>
          <w:sz w:val="22"/>
          <w:szCs w:val="22"/>
        </w:rPr>
        <w:t xml:space="preserve">in early 2022 </w:t>
      </w:r>
      <w:r w:rsidR="0099166E">
        <w:rPr>
          <w:rFonts w:ascii="Source Sans Pro" w:hAnsi="Source Sans Pro"/>
          <w:sz w:val="22"/>
          <w:szCs w:val="22"/>
        </w:rPr>
        <w:t>by the Queensland Land Court, constituted by President Kingham.</w:t>
      </w:r>
    </w:p>
    <w:p w14:paraId="03C852EE" w14:textId="77777777" w:rsidR="0099166E" w:rsidRDefault="0099166E" w:rsidP="00C17FFB">
      <w:pPr>
        <w:rPr>
          <w:rFonts w:ascii="Source Sans Pro" w:hAnsi="Source Sans Pro"/>
          <w:sz w:val="22"/>
          <w:szCs w:val="22"/>
        </w:rPr>
      </w:pPr>
    </w:p>
    <w:p w14:paraId="36FDD5DB" w14:textId="16A62C39" w:rsidR="0099166E" w:rsidRDefault="00801405" w:rsidP="00C17FFB">
      <w:pPr>
        <w:rPr>
          <w:rFonts w:ascii="Source Sans Pro" w:hAnsi="Source Sans Pro"/>
          <w:sz w:val="22"/>
          <w:szCs w:val="22"/>
        </w:rPr>
      </w:pPr>
      <w:r>
        <w:rPr>
          <w:rFonts w:ascii="Source Sans Pro" w:hAnsi="Source Sans Pro"/>
          <w:sz w:val="22"/>
          <w:szCs w:val="22"/>
        </w:rPr>
        <w:t>The</w:t>
      </w:r>
      <w:r w:rsidR="00A0156B">
        <w:rPr>
          <w:rFonts w:ascii="Source Sans Pro" w:hAnsi="Source Sans Pro"/>
          <w:sz w:val="22"/>
          <w:szCs w:val="22"/>
        </w:rPr>
        <w:t xml:space="preserve"> grounds of objection included the direct impacts on the biodiversity of the Bimblebox Nature Refuge, the broader impacts on Queensland through climate change </w:t>
      </w:r>
      <w:r w:rsidR="0031488C">
        <w:rPr>
          <w:rFonts w:ascii="Source Sans Pro" w:hAnsi="Source Sans Pro"/>
          <w:sz w:val="22"/>
          <w:szCs w:val="22"/>
        </w:rPr>
        <w:t xml:space="preserve">(particularly </w:t>
      </w:r>
      <w:r w:rsidR="00CC1260">
        <w:rPr>
          <w:rFonts w:ascii="Source Sans Pro" w:hAnsi="Source Sans Pro"/>
          <w:sz w:val="22"/>
          <w:szCs w:val="22"/>
        </w:rPr>
        <w:t>low-lying</w:t>
      </w:r>
      <w:r w:rsidR="0031488C">
        <w:rPr>
          <w:rFonts w:ascii="Source Sans Pro" w:hAnsi="Source Sans Pro"/>
          <w:sz w:val="22"/>
          <w:szCs w:val="22"/>
        </w:rPr>
        <w:t xml:space="preserve"> coastal areas such as the Torres Strait)</w:t>
      </w:r>
      <w:r w:rsidR="00DB13C2">
        <w:rPr>
          <w:rFonts w:ascii="Source Sans Pro" w:hAnsi="Source Sans Pro"/>
          <w:sz w:val="22"/>
          <w:szCs w:val="22"/>
        </w:rPr>
        <w:t xml:space="preserve"> and the consequential human rights impacts under the </w:t>
      </w:r>
      <w:r w:rsidR="00DB13C2" w:rsidRPr="00DB13C2">
        <w:rPr>
          <w:rFonts w:ascii="Source Sans Pro" w:hAnsi="Source Sans Pro"/>
          <w:i/>
          <w:iCs/>
          <w:sz w:val="22"/>
          <w:szCs w:val="22"/>
        </w:rPr>
        <w:t>Human Rights Act 2019</w:t>
      </w:r>
      <w:r w:rsidR="00AF43B2">
        <w:rPr>
          <w:rFonts w:ascii="Source Sans Pro" w:hAnsi="Source Sans Pro"/>
          <w:i/>
          <w:iCs/>
          <w:sz w:val="22"/>
          <w:szCs w:val="22"/>
        </w:rPr>
        <w:t xml:space="preserve"> </w:t>
      </w:r>
      <w:r w:rsidR="00DA66C6">
        <w:rPr>
          <w:rFonts w:ascii="Source Sans Pro" w:hAnsi="Source Sans Pro"/>
          <w:i/>
          <w:iCs/>
          <w:sz w:val="22"/>
          <w:szCs w:val="22"/>
        </w:rPr>
        <w:t>(Qld)</w:t>
      </w:r>
      <w:r w:rsidR="00DB13C2">
        <w:rPr>
          <w:rFonts w:ascii="Source Sans Pro" w:hAnsi="Source Sans Pro"/>
          <w:sz w:val="22"/>
          <w:szCs w:val="22"/>
        </w:rPr>
        <w:t xml:space="preserve">.  </w:t>
      </w:r>
      <w:r w:rsidR="00DC0931">
        <w:rPr>
          <w:rFonts w:ascii="Source Sans Pro" w:hAnsi="Source Sans Pro"/>
          <w:sz w:val="22"/>
          <w:szCs w:val="22"/>
        </w:rPr>
        <w:t>It was the first case to raise the human rights impacts of climate change in an Australian court.</w:t>
      </w:r>
    </w:p>
    <w:p w14:paraId="44CDDC81" w14:textId="77777777" w:rsidR="00CC1260" w:rsidRDefault="00CC1260" w:rsidP="00C17FFB">
      <w:pPr>
        <w:rPr>
          <w:rFonts w:ascii="Source Sans Pro" w:hAnsi="Source Sans Pro"/>
          <w:sz w:val="22"/>
          <w:szCs w:val="22"/>
        </w:rPr>
      </w:pPr>
    </w:p>
    <w:p w14:paraId="5F6737D5" w14:textId="539AFECA" w:rsidR="00CC1260" w:rsidRDefault="001E0BF6" w:rsidP="00C17FFB">
      <w:pPr>
        <w:rPr>
          <w:rFonts w:ascii="Source Sans Pro" w:hAnsi="Source Sans Pro"/>
          <w:sz w:val="22"/>
          <w:szCs w:val="22"/>
        </w:rPr>
      </w:pPr>
      <w:r>
        <w:rPr>
          <w:rFonts w:ascii="Source Sans Pro" w:hAnsi="Source Sans Pro"/>
          <w:sz w:val="22"/>
          <w:szCs w:val="22"/>
        </w:rPr>
        <w:t>The Court accepted that</w:t>
      </w:r>
      <w:r w:rsidR="00031490">
        <w:rPr>
          <w:rFonts w:ascii="Source Sans Pro" w:hAnsi="Source Sans Pro"/>
          <w:sz w:val="22"/>
          <w:szCs w:val="22"/>
        </w:rPr>
        <w:t>,</w:t>
      </w:r>
      <w:r>
        <w:rPr>
          <w:rFonts w:ascii="Source Sans Pro" w:hAnsi="Source Sans Pro"/>
          <w:sz w:val="22"/>
          <w:szCs w:val="22"/>
        </w:rPr>
        <w:t xml:space="preserve"> on the</w:t>
      </w:r>
      <w:r w:rsidR="00031490">
        <w:rPr>
          <w:rFonts w:ascii="Source Sans Pro" w:hAnsi="Source Sans Pro"/>
          <w:sz w:val="22"/>
          <w:szCs w:val="22"/>
        </w:rPr>
        <w:t xml:space="preserve"> specific</w:t>
      </w:r>
      <w:r>
        <w:rPr>
          <w:rFonts w:ascii="Source Sans Pro" w:hAnsi="Source Sans Pro"/>
          <w:sz w:val="22"/>
          <w:szCs w:val="22"/>
        </w:rPr>
        <w:t xml:space="preserve"> facts of th</w:t>
      </w:r>
      <w:r w:rsidR="00031490">
        <w:rPr>
          <w:rFonts w:ascii="Source Sans Pro" w:hAnsi="Source Sans Pro"/>
          <w:sz w:val="22"/>
          <w:szCs w:val="22"/>
        </w:rPr>
        <w:t xml:space="preserve">is case, it </w:t>
      </w:r>
      <w:r w:rsidR="00DA0944">
        <w:rPr>
          <w:rFonts w:ascii="Source Sans Pro" w:hAnsi="Source Sans Pro"/>
          <w:sz w:val="22"/>
          <w:szCs w:val="22"/>
        </w:rPr>
        <w:t xml:space="preserve">was not in the public interest to grant the necessary approvals.  </w:t>
      </w:r>
      <w:r w:rsidR="008B538F">
        <w:rPr>
          <w:rFonts w:ascii="Source Sans Pro" w:hAnsi="Source Sans Pro"/>
          <w:sz w:val="22"/>
          <w:szCs w:val="22"/>
        </w:rPr>
        <w:t xml:space="preserve">The Court found that there was insufficient evidence </w:t>
      </w:r>
      <w:r w:rsidR="00FE661F">
        <w:rPr>
          <w:rFonts w:ascii="Source Sans Pro" w:hAnsi="Source Sans Pro"/>
          <w:sz w:val="22"/>
          <w:szCs w:val="22"/>
        </w:rPr>
        <w:t xml:space="preserve">of the potential impacts on biodiversity, and whether they can be managed, to be satisfied the impacts </w:t>
      </w:r>
      <w:r w:rsidR="006C2CB5">
        <w:rPr>
          <w:rFonts w:ascii="Source Sans Pro" w:hAnsi="Source Sans Pro"/>
          <w:sz w:val="22"/>
          <w:szCs w:val="22"/>
        </w:rPr>
        <w:t>would be acceptable. Crucially the court was not satisfied that</w:t>
      </w:r>
      <w:r w:rsidR="003E5205">
        <w:rPr>
          <w:rFonts w:ascii="Source Sans Pro" w:hAnsi="Source Sans Pro"/>
          <w:sz w:val="22"/>
          <w:szCs w:val="22"/>
        </w:rPr>
        <w:t xml:space="preserve"> the mine would </w:t>
      </w:r>
      <w:r w:rsidR="00121E54">
        <w:rPr>
          <w:rFonts w:ascii="Source Sans Pro" w:hAnsi="Source Sans Pro"/>
          <w:sz w:val="22"/>
          <w:szCs w:val="22"/>
        </w:rPr>
        <w:t xml:space="preserve">necessarily </w:t>
      </w:r>
      <w:r w:rsidR="003E5205">
        <w:rPr>
          <w:rFonts w:ascii="Source Sans Pro" w:hAnsi="Source Sans Pro"/>
          <w:sz w:val="22"/>
          <w:szCs w:val="22"/>
        </w:rPr>
        <w:t xml:space="preserve">have a neutral or beneficial impact on climate change by </w:t>
      </w:r>
      <w:r w:rsidR="00121E54">
        <w:rPr>
          <w:rFonts w:ascii="Source Sans Pro" w:hAnsi="Source Sans Pro"/>
          <w:sz w:val="22"/>
          <w:szCs w:val="22"/>
        </w:rPr>
        <w:t xml:space="preserve">substituting </w:t>
      </w:r>
      <w:r w:rsidR="00DF1EE3">
        <w:rPr>
          <w:rFonts w:ascii="Source Sans Pro" w:hAnsi="Source Sans Pro"/>
          <w:sz w:val="22"/>
          <w:szCs w:val="22"/>
        </w:rPr>
        <w:t>precise</w:t>
      </w:r>
      <w:r w:rsidR="00310FFB">
        <w:rPr>
          <w:rFonts w:ascii="Source Sans Pro" w:hAnsi="Source Sans Pro"/>
          <w:sz w:val="22"/>
          <w:szCs w:val="22"/>
        </w:rPr>
        <w:t>ly</w:t>
      </w:r>
      <w:r w:rsidR="00DF1EE3">
        <w:rPr>
          <w:rFonts w:ascii="Source Sans Pro" w:hAnsi="Source Sans Pro"/>
          <w:sz w:val="22"/>
          <w:szCs w:val="22"/>
        </w:rPr>
        <w:t xml:space="preserve"> the same amount of equivalent, or worse, quality coal (i.e. the “Perfect Substitution Proposition”).</w:t>
      </w:r>
      <w:r w:rsidR="00DA5A32">
        <w:rPr>
          <w:rFonts w:ascii="Source Sans Pro" w:hAnsi="Source Sans Pro"/>
          <w:sz w:val="22"/>
          <w:szCs w:val="22"/>
        </w:rPr>
        <w:t xml:space="preserve">  </w:t>
      </w:r>
      <w:r w:rsidR="006B590B">
        <w:rPr>
          <w:rFonts w:ascii="Source Sans Pro" w:hAnsi="Source Sans Pro"/>
          <w:sz w:val="22"/>
          <w:szCs w:val="22"/>
        </w:rPr>
        <w:t>The Court found that the project would there</w:t>
      </w:r>
      <w:r w:rsidR="007B62E0">
        <w:rPr>
          <w:rFonts w:ascii="Source Sans Pro" w:hAnsi="Source Sans Pro"/>
          <w:sz w:val="22"/>
          <w:szCs w:val="22"/>
        </w:rPr>
        <w:t xml:space="preserve">for make a material contribution to the impacts of climate change on Queensland including increased </w:t>
      </w:r>
      <w:r w:rsidR="00312F0F">
        <w:rPr>
          <w:rFonts w:ascii="Source Sans Pro" w:hAnsi="Source Sans Pro"/>
          <w:sz w:val="22"/>
          <w:szCs w:val="22"/>
        </w:rPr>
        <w:t xml:space="preserve">heatwaves, </w:t>
      </w:r>
      <w:r w:rsidR="007B62E0">
        <w:rPr>
          <w:rFonts w:ascii="Source Sans Pro" w:hAnsi="Source Sans Pro"/>
          <w:sz w:val="22"/>
          <w:szCs w:val="22"/>
        </w:rPr>
        <w:t>bushfires, floods</w:t>
      </w:r>
      <w:r w:rsidR="00312F0F">
        <w:rPr>
          <w:rFonts w:ascii="Source Sans Pro" w:hAnsi="Source Sans Pro"/>
          <w:sz w:val="22"/>
          <w:szCs w:val="22"/>
        </w:rPr>
        <w:t xml:space="preserve"> and diseases.  Both the local and climate change impacts on Queenslanders were found to also have unacceptable impacts on human right</w:t>
      </w:r>
      <w:r w:rsidR="00687C2F">
        <w:rPr>
          <w:rFonts w:ascii="Source Sans Pro" w:hAnsi="Source Sans Pro"/>
          <w:sz w:val="22"/>
          <w:szCs w:val="22"/>
        </w:rPr>
        <w:t>s.</w:t>
      </w:r>
    </w:p>
    <w:p w14:paraId="76C1EC48" w14:textId="77777777" w:rsidR="005F72B5" w:rsidRDefault="005F72B5" w:rsidP="00C17FFB">
      <w:pPr>
        <w:rPr>
          <w:rFonts w:ascii="Source Sans Pro" w:hAnsi="Source Sans Pro"/>
          <w:sz w:val="22"/>
          <w:szCs w:val="22"/>
        </w:rPr>
      </w:pPr>
    </w:p>
    <w:p w14:paraId="753F8B83" w14:textId="59891CF3" w:rsidR="005F72B5" w:rsidRDefault="005F72B5" w:rsidP="00C17FFB">
      <w:pPr>
        <w:rPr>
          <w:rFonts w:ascii="Source Sans Pro" w:hAnsi="Source Sans Pro"/>
          <w:sz w:val="22"/>
          <w:szCs w:val="22"/>
        </w:rPr>
      </w:pPr>
      <w:r>
        <w:rPr>
          <w:rFonts w:ascii="Source Sans Pro" w:hAnsi="Source Sans Pro"/>
          <w:sz w:val="22"/>
          <w:szCs w:val="22"/>
        </w:rPr>
        <w:lastRenderedPageBreak/>
        <w:t xml:space="preserve">The Land Court recommended that both the </w:t>
      </w:r>
      <w:r w:rsidR="00CD36FE">
        <w:rPr>
          <w:rFonts w:ascii="Source Sans Pro" w:hAnsi="Source Sans Pro"/>
          <w:sz w:val="22"/>
          <w:szCs w:val="22"/>
        </w:rPr>
        <w:t>mining lease</w:t>
      </w:r>
      <w:r>
        <w:rPr>
          <w:rFonts w:ascii="Source Sans Pro" w:hAnsi="Source Sans Pro"/>
          <w:sz w:val="22"/>
          <w:szCs w:val="22"/>
        </w:rPr>
        <w:t xml:space="preserve"> and </w:t>
      </w:r>
      <w:r w:rsidR="00CD36FE">
        <w:rPr>
          <w:rFonts w:ascii="Source Sans Pro" w:hAnsi="Source Sans Pro"/>
          <w:sz w:val="22"/>
          <w:szCs w:val="22"/>
        </w:rPr>
        <w:t>environmental authority</w:t>
      </w:r>
      <w:r>
        <w:rPr>
          <w:rFonts w:ascii="Source Sans Pro" w:hAnsi="Source Sans Pro"/>
          <w:sz w:val="22"/>
          <w:szCs w:val="22"/>
        </w:rPr>
        <w:t xml:space="preserve"> applications be refused</w:t>
      </w:r>
      <w:r w:rsidR="0054637B">
        <w:rPr>
          <w:rFonts w:ascii="Source Sans Pro" w:hAnsi="Source Sans Pro"/>
          <w:sz w:val="22"/>
          <w:szCs w:val="22"/>
        </w:rPr>
        <w:t xml:space="preserve">.  The final decisions on those applications </w:t>
      </w:r>
      <w:r w:rsidR="001B61DA">
        <w:rPr>
          <w:rFonts w:ascii="Source Sans Pro" w:hAnsi="Source Sans Pro"/>
          <w:sz w:val="22"/>
          <w:szCs w:val="22"/>
        </w:rPr>
        <w:t>are</w:t>
      </w:r>
      <w:r w:rsidR="0054637B">
        <w:rPr>
          <w:rFonts w:ascii="Source Sans Pro" w:hAnsi="Source Sans Pro"/>
          <w:sz w:val="22"/>
          <w:szCs w:val="22"/>
        </w:rPr>
        <w:t xml:space="preserve"> for the Queensland government to decide. </w:t>
      </w:r>
      <w:r w:rsidR="001B61DA">
        <w:rPr>
          <w:rFonts w:ascii="Source Sans Pro" w:hAnsi="Source Sans Pro"/>
          <w:sz w:val="22"/>
          <w:szCs w:val="22"/>
        </w:rPr>
        <w:t>Waratah has applied to the Supreme Court to review the</w:t>
      </w:r>
      <w:r w:rsidR="0054637B">
        <w:rPr>
          <w:rFonts w:ascii="Source Sans Pro" w:hAnsi="Source Sans Pro"/>
          <w:sz w:val="22"/>
          <w:szCs w:val="22"/>
        </w:rPr>
        <w:t xml:space="preserve"> Land Court decision</w:t>
      </w:r>
      <w:r w:rsidR="001B61DA">
        <w:rPr>
          <w:rFonts w:ascii="Source Sans Pro" w:hAnsi="Source Sans Pro"/>
          <w:sz w:val="22"/>
          <w:szCs w:val="22"/>
        </w:rPr>
        <w:t>.</w:t>
      </w:r>
    </w:p>
    <w:p w14:paraId="23E4032C" w14:textId="77777777" w:rsidR="00DF6B42" w:rsidRDefault="00DF6B42" w:rsidP="00C17FFB">
      <w:pPr>
        <w:rPr>
          <w:rFonts w:ascii="Source Sans Pro" w:hAnsi="Source Sans Pro"/>
          <w:sz w:val="22"/>
          <w:szCs w:val="22"/>
        </w:rPr>
      </w:pPr>
    </w:p>
    <w:p w14:paraId="7EF604D7" w14:textId="7F68E1D6" w:rsidR="00DF6B42" w:rsidRPr="00746DB8" w:rsidRDefault="00A20D77" w:rsidP="00C17FFB">
      <w:pPr>
        <w:rPr>
          <w:rStyle w:val="IntenseEmphasis"/>
          <w:sz w:val="28"/>
          <w:szCs w:val="28"/>
        </w:rPr>
      </w:pPr>
      <w:r w:rsidRPr="00746DB8">
        <w:rPr>
          <w:rStyle w:val="IntenseEmphasis"/>
          <w:sz w:val="28"/>
          <w:szCs w:val="28"/>
        </w:rPr>
        <w:t>Background</w:t>
      </w:r>
    </w:p>
    <w:p w14:paraId="70A1C0E2" w14:textId="25DF8ECF" w:rsidR="00C17FFB" w:rsidRDefault="00C17FFB" w:rsidP="00C17FFB">
      <w:pPr>
        <w:rPr>
          <w:rFonts w:ascii="Source Sans Pro" w:hAnsi="Source Sans Pro"/>
          <w:sz w:val="22"/>
          <w:szCs w:val="22"/>
        </w:rPr>
      </w:pPr>
      <w:r>
        <w:rPr>
          <w:rFonts w:ascii="Source Sans Pro" w:hAnsi="Source Sans Pro"/>
          <w:sz w:val="22"/>
          <w:szCs w:val="22"/>
        </w:rPr>
        <w:t>In 200</w:t>
      </w:r>
      <w:r w:rsidR="00DC30C6">
        <w:rPr>
          <w:rFonts w:ascii="Source Sans Pro" w:hAnsi="Source Sans Pro"/>
          <w:sz w:val="22"/>
          <w:szCs w:val="22"/>
        </w:rPr>
        <w:t>0</w:t>
      </w:r>
      <w:r w:rsidR="0075374D">
        <w:rPr>
          <w:rFonts w:ascii="Source Sans Pro" w:hAnsi="Source Sans Pro"/>
          <w:sz w:val="22"/>
          <w:szCs w:val="22"/>
        </w:rPr>
        <w:t>,</w:t>
      </w:r>
      <w:r>
        <w:rPr>
          <w:rFonts w:ascii="Source Sans Pro" w:hAnsi="Source Sans Pro"/>
          <w:sz w:val="22"/>
          <w:szCs w:val="22"/>
        </w:rPr>
        <w:t xml:space="preserve"> local landholders banded together to save a large tract of </w:t>
      </w:r>
      <w:r w:rsidR="0075374D">
        <w:rPr>
          <w:rFonts w:ascii="Source Sans Pro" w:hAnsi="Source Sans Pro"/>
          <w:sz w:val="22"/>
          <w:szCs w:val="22"/>
        </w:rPr>
        <w:t>remnant</w:t>
      </w:r>
      <w:r>
        <w:rPr>
          <w:rFonts w:ascii="Source Sans Pro" w:hAnsi="Source Sans Pro"/>
          <w:sz w:val="22"/>
          <w:szCs w:val="22"/>
        </w:rPr>
        <w:t xml:space="preserve"> bushland from land clearing</w:t>
      </w:r>
      <w:r w:rsidR="005F7BBE">
        <w:rPr>
          <w:rFonts w:ascii="Source Sans Pro" w:hAnsi="Source Sans Pro"/>
          <w:sz w:val="22"/>
          <w:szCs w:val="22"/>
        </w:rPr>
        <w:t xml:space="preserve"> during a time of enormous biodiversity loss to agriculture</w:t>
      </w:r>
      <w:r>
        <w:rPr>
          <w:rFonts w:ascii="Source Sans Pro" w:hAnsi="Source Sans Pro"/>
          <w:sz w:val="22"/>
          <w:szCs w:val="22"/>
        </w:rPr>
        <w:t>.  They received a grant from the federal government to buy the property on the condition that they</w:t>
      </w:r>
      <w:r w:rsidR="008A6444">
        <w:rPr>
          <w:rFonts w:ascii="Source Sans Pro" w:hAnsi="Source Sans Pro"/>
          <w:sz w:val="22"/>
          <w:szCs w:val="22"/>
        </w:rPr>
        <w:t>, and successive owners,</w:t>
      </w:r>
      <w:r>
        <w:rPr>
          <w:rFonts w:ascii="Source Sans Pro" w:hAnsi="Source Sans Pro"/>
          <w:sz w:val="22"/>
          <w:szCs w:val="22"/>
        </w:rPr>
        <w:t xml:space="preserve"> protect th</w:t>
      </w:r>
      <w:r w:rsidR="004A7DE0">
        <w:rPr>
          <w:rFonts w:ascii="Source Sans Pro" w:hAnsi="Source Sans Pro"/>
          <w:sz w:val="22"/>
          <w:szCs w:val="22"/>
        </w:rPr>
        <w:t>e</w:t>
      </w:r>
      <w:r>
        <w:rPr>
          <w:rFonts w:ascii="Source Sans Pro" w:hAnsi="Source Sans Pro"/>
          <w:sz w:val="22"/>
          <w:szCs w:val="22"/>
        </w:rPr>
        <w:t xml:space="preserve"> natur</w:t>
      </w:r>
      <w:r w:rsidR="004A7DE0">
        <w:rPr>
          <w:rFonts w:ascii="Source Sans Pro" w:hAnsi="Source Sans Pro"/>
          <w:sz w:val="22"/>
          <w:szCs w:val="22"/>
        </w:rPr>
        <w:t>al features of the land</w:t>
      </w:r>
      <w:r w:rsidR="00DC1F78">
        <w:rPr>
          <w:rFonts w:ascii="Source Sans Pro" w:hAnsi="Source Sans Pro"/>
          <w:sz w:val="22"/>
          <w:szCs w:val="22"/>
        </w:rPr>
        <w:t>,</w:t>
      </w:r>
      <w:r>
        <w:rPr>
          <w:rFonts w:ascii="Source Sans Pro" w:hAnsi="Source Sans Pro"/>
          <w:sz w:val="22"/>
          <w:szCs w:val="22"/>
        </w:rPr>
        <w:t xml:space="preserve"> in perpetuity</w:t>
      </w:r>
      <w:r w:rsidR="00DC1F78">
        <w:rPr>
          <w:rFonts w:ascii="Source Sans Pro" w:hAnsi="Source Sans Pro"/>
          <w:sz w:val="22"/>
          <w:szCs w:val="22"/>
        </w:rPr>
        <w:t>,</w:t>
      </w:r>
      <w:r>
        <w:rPr>
          <w:rFonts w:ascii="Source Sans Pro" w:hAnsi="Source Sans Pro"/>
          <w:sz w:val="22"/>
          <w:szCs w:val="22"/>
        </w:rPr>
        <w:t xml:space="preserve"> for future generations.  They called it the Bimblebox Nature Refuge </w:t>
      </w:r>
      <w:r w:rsidR="009371DE">
        <w:rPr>
          <w:rFonts w:ascii="Source Sans Pro" w:hAnsi="Source Sans Pro"/>
          <w:sz w:val="22"/>
          <w:szCs w:val="22"/>
        </w:rPr>
        <w:t>(</w:t>
      </w:r>
      <w:r w:rsidR="009371DE" w:rsidRPr="009371DE">
        <w:rPr>
          <w:rFonts w:ascii="Source Sans Pro" w:hAnsi="Source Sans Pro"/>
          <w:b/>
          <w:bCs/>
          <w:sz w:val="22"/>
          <w:szCs w:val="22"/>
        </w:rPr>
        <w:t>Bimblebox</w:t>
      </w:r>
      <w:r w:rsidR="009371DE">
        <w:rPr>
          <w:rFonts w:ascii="Source Sans Pro" w:hAnsi="Source Sans Pro"/>
          <w:sz w:val="22"/>
          <w:szCs w:val="22"/>
        </w:rPr>
        <w:t>)</w:t>
      </w:r>
      <w:r w:rsidR="00D12C03">
        <w:rPr>
          <w:rFonts w:ascii="Source Sans Pro" w:hAnsi="Source Sans Pro"/>
          <w:sz w:val="22"/>
          <w:szCs w:val="22"/>
        </w:rPr>
        <w:t>.</w:t>
      </w:r>
      <w:r w:rsidR="009371DE">
        <w:rPr>
          <w:rFonts w:ascii="Source Sans Pro" w:hAnsi="Source Sans Pro"/>
          <w:sz w:val="22"/>
          <w:szCs w:val="22"/>
        </w:rPr>
        <w:t xml:space="preserve"> </w:t>
      </w:r>
      <w:r w:rsidR="0014724E">
        <w:rPr>
          <w:rFonts w:ascii="Source Sans Pro" w:hAnsi="Source Sans Pro"/>
          <w:sz w:val="22"/>
          <w:szCs w:val="22"/>
        </w:rPr>
        <w:t xml:space="preserve">Nine years later, </w:t>
      </w:r>
      <w:r w:rsidR="00CC0D1F">
        <w:rPr>
          <w:rFonts w:ascii="Source Sans Pro" w:hAnsi="Source Sans Pro"/>
          <w:sz w:val="22"/>
          <w:szCs w:val="22"/>
        </w:rPr>
        <w:t xml:space="preserve">an exploration licence was granted on Bimblebox </w:t>
      </w:r>
      <w:r w:rsidR="00490218">
        <w:rPr>
          <w:rFonts w:ascii="Source Sans Pro" w:hAnsi="Source Sans Pro"/>
          <w:sz w:val="22"/>
          <w:szCs w:val="22"/>
        </w:rPr>
        <w:t xml:space="preserve">for coal exploration, </w:t>
      </w:r>
      <w:r>
        <w:rPr>
          <w:rFonts w:ascii="Source Sans Pro" w:hAnsi="Source Sans Pro"/>
          <w:sz w:val="22"/>
          <w:szCs w:val="22"/>
        </w:rPr>
        <w:t xml:space="preserve">and </w:t>
      </w:r>
      <w:r w:rsidR="00195278">
        <w:rPr>
          <w:rFonts w:ascii="Source Sans Pro" w:hAnsi="Source Sans Pro"/>
          <w:sz w:val="22"/>
          <w:szCs w:val="22"/>
        </w:rPr>
        <w:t xml:space="preserve">a few years later, </w:t>
      </w:r>
      <w:r>
        <w:rPr>
          <w:rFonts w:ascii="Source Sans Pro" w:hAnsi="Source Sans Pro"/>
          <w:sz w:val="22"/>
          <w:szCs w:val="22"/>
        </w:rPr>
        <w:t>The Bimble</w:t>
      </w:r>
      <w:r w:rsidR="006D2591">
        <w:rPr>
          <w:rFonts w:ascii="Source Sans Pro" w:hAnsi="Source Sans Pro"/>
          <w:sz w:val="22"/>
          <w:szCs w:val="22"/>
        </w:rPr>
        <w:t>bo</w:t>
      </w:r>
      <w:r>
        <w:rPr>
          <w:rFonts w:ascii="Source Sans Pro" w:hAnsi="Source Sans Pro"/>
          <w:sz w:val="22"/>
          <w:szCs w:val="22"/>
        </w:rPr>
        <w:t>x Alliance Inc. (</w:t>
      </w:r>
      <w:r w:rsidRPr="00922B7A">
        <w:rPr>
          <w:rFonts w:ascii="Source Sans Pro" w:hAnsi="Source Sans Pro"/>
          <w:b/>
          <w:bCs/>
          <w:sz w:val="22"/>
          <w:szCs w:val="22"/>
        </w:rPr>
        <w:t>TBA</w:t>
      </w:r>
      <w:r>
        <w:rPr>
          <w:rFonts w:ascii="Source Sans Pro" w:hAnsi="Source Sans Pro"/>
          <w:sz w:val="22"/>
          <w:szCs w:val="22"/>
        </w:rPr>
        <w:t>)</w:t>
      </w:r>
      <w:r w:rsidR="00BC7B99">
        <w:rPr>
          <w:rFonts w:ascii="Source Sans Pro" w:hAnsi="Source Sans Pro"/>
          <w:sz w:val="22"/>
          <w:szCs w:val="22"/>
        </w:rPr>
        <w:t xml:space="preserve"> was formed to protect </w:t>
      </w:r>
      <w:r w:rsidR="006C5C08">
        <w:rPr>
          <w:rFonts w:ascii="Source Sans Pro" w:hAnsi="Source Sans Pro"/>
          <w:sz w:val="22"/>
          <w:szCs w:val="22"/>
        </w:rPr>
        <w:t>Bimblebox, and advocate for the value of nature refuges everywhere</w:t>
      </w:r>
      <w:r w:rsidR="006176CE">
        <w:rPr>
          <w:rFonts w:ascii="Source Sans Pro" w:hAnsi="Source Sans Pro"/>
          <w:sz w:val="22"/>
          <w:szCs w:val="22"/>
        </w:rPr>
        <w:t>.</w:t>
      </w:r>
      <w:r w:rsidR="00604CC1">
        <w:rPr>
          <w:rFonts w:ascii="Source Sans Pro" w:hAnsi="Source Sans Pro"/>
          <w:sz w:val="22"/>
          <w:szCs w:val="22"/>
        </w:rPr>
        <w:t xml:space="preserve"> </w:t>
      </w:r>
      <w:r w:rsidR="00A27EBC">
        <w:rPr>
          <w:rFonts w:ascii="Source Sans Pro" w:hAnsi="Source Sans Pro"/>
          <w:sz w:val="22"/>
          <w:szCs w:val="22"/>
        </w:rPr>
        <w:t>Despite the</w:t>
      </w:r>
      <w:r w:rsidR="00091AD0">
        <w:rPr>
          <w:rFonts w:ascii="Source Sans Pro" w:hAnsi="Source Sans Pro"/>
          <w:sz w:val="22"/>
          <w:szCs w:val="22"/>
        </w:rPr>
        <w:t xml:space="preserve"> looming</w:t>
      </w:r>
      <w:r w:rsidR="00F0597A">
        <w:rPr>
          <w:rFonts w:ascii="Source Sans Pro" w:hAnsi="Source Sans Pro"/>
          <w:sz w:val="22"/>
          <w:szCs w:val="22"/>
        </w:rPr>
        <w:t xml:space="preserve"> mining applications, the landholders fastidiously maintained their commitments to the state and federal governments to </w:t>
      </w:r>
      <w:r w:rsidR="009C4896">
        <w:rPr>
          <w:rFonts w:ascii="Source Sans Pro" w:hAnsi="Source Sans Pro"/>
          <w:sz w:val="22"/>
          <w:szCs w:val="22"/>
        </w:rPr>
        <w:t xml:space="preserve">manage, </w:t>
      </w:r>
      <w:r w:rsidR="00F0597A">
        <w:rPr>
          <w:rFonts w:ascii="Source Sans Pro" w:hAnsi="Source Sans Pro"/>
          <w:sz w:val="22"/>
          <w:szCs w:val="22"/>
        </w:rPr>
        <w:t xml:space="preserve">protect and conserve </w:t>
      </w:r>
      <w:r w:rsidR="00997AE0">
        <w:rPr>
          <w:rFonts w:ascii="Source Sans Pro" w:hAnsi="Source Sans Pro"/>
          <w:sz w:val="22"/>
          <w:szCs w:val="22"/>
        </w:rPr>
        <w:t>Bimblebox</w:t>
      </w:r>
      <w:r w:rsidR="00E37916">
        <w:rPr>
          <w:rFonts w:ascii="Source Sans Pro" w:hAnsi="Source Sans Pro"/>
          <w:sz w:val="22"/>
          <w:szCs w:val="22"/>
        </w:rPr>
        <w:t xml:space="preserve">. </w:t>
      </w:r>
    </w:p>
    <w:p w14:paraId="4ADD36AA" w14:textId="77777777" w:rsidR="00357EBD" w:rsidRDefault="00357EBD" w:rsidP="00C17FFB">
      <w:pPr>
        <w:rPr>
          <w:rFonts w:ascii="Source Sans Pro" w:hAnsi="Source Sans Pro"/>
          <w:sz w:val="22"/>
          <w:szCs w:val="22"/>
        </w:rPr>
      </w:pPr>
    </w:p>
    <w:p w14:paraId="0E4505D9" w14:textId="37E8C1ED" w:rsidR="00357EBD" w:rsidRDefault="00A27EBC" w:rsidP="00C17FFB">
      <w:pPr>
        <w:rPr>
          <w:rFonts w:ascii="Source Sans Pro" w:hAnsi="Source Sans Pro"/>
          <w:sz w:val="22"/>
          <w:szCs w:val="22"/>
        </w:rPr>
      </w:pPr>
      <w:r>
        <w:rPr>
          <w:rFonts w:ascii="Source Sans Pro" w:hAnsi="Source Sans Pro"/>
          <w:sz w:val="22"/>
          <w:szCs w:val="22"/>
        </w:rPr>
        <w:t xml:space="preserve">In that time, </w:t>
      </w:r>
      <w:r w:rsidR="00357EBD">
        <w:rPr>
          <w:rFonts w:ascii="Source Sans Pro" w:hAnsi="Source Sans Pro"/>
          <w:sz w:val="22"/>
          <w:szCs w:val="22"/>
        </w:rPr>
        <w:t>Bimblebox became</w:t>
      </w:r>
      <w:r w:rsidR="00733519">
        <w:rPr>
          <w:rFonts w:ascii="Source Sans Pro" w:hAnsi="Source Sans Pro"/>
          <w:sz w:val="22"/>
          <w:szCs w:val="22"/>
        </w:rPr>
        <w:t xml:space="preserve"> more than a home for hundreds of plant and animal species, but</w:t>
      </w:r>
      <w:r w:rsidR="00357EBD">
        <w:rPr>
          <w:rFonts w:ascii="Source Sans Pro" w:hAnsi="Source Sans Pro"/>
          <w:sz w:val="22"/>
          <w:szCs w:val="22"/>
        </w:rPr>
        <w:t xml:space="preserve"> </w:t>
      </w:r>
      <w:r w:rsidR="00F54F12">
        <w:rPr>
          <w:rFonts w:ascii="Source Sans Pro" w:hAnsi="Source Sans Pro"/>
          <w:sz w:val="22"/>
          <w:szCs w:val="22"/>
        </w:rPr>
        <w:t>a place for research, a study in sustainable agricultural practices</w:t>
      </w:r>
      <w:r w:rsidR="00447CBF">
        <w:rPr>
          <w:rFonts w:ascii="Source Sans Pro" w:hAnsi="Source Sans Pro"/>
          <w:sz w:val="22"/>
          <w:szCs w:val="22"/>
        </w:rPr>
        <w:t xml:space="preserve">, </w:t>
      </w:r>
      <w:r w:rsidR="006B4155">
        <w:rPr>
          <w:rFonts w:ascii="Source Sans Pro" w:hAnsi="Source Sans Pro"/>
          <w:sz w:val="22"/>
          <w:szCs w:val="22"/>
        </w:rPr>
        <w:t xml:space="preserve">and </w:t>
      </w:r>
      <w:r w:rsidR="00C67216">
        <w:rPr>
          <w:rFonts w:ascii="Source Sans Pro" w:hAnsi="Source Sans Pro"/>
          <w:sz w:val="22"/>
          <w:szCs w:val="22"/>
        </w:rPr>
        <w:t>the focal point of the Bimblebox Art Project</w:t>
      </w:r>
      <w:r w:rsidR="00C03EAF">
        <w:rPr>
          <w:rFonts w:ascii="Source Sans Pro" w:hAnsi="Source Sans Pro"/>
          <w:sz w:val="22"/>
          <w:szCs w:val="22"/>
        </w:rPr>
        <w:t>, which has contributed to Queensland’s cultural landscape</w:t>
      </w:r>
      <w:r w:rsidR="00733519">
        <w:rPr>
          <w:rFonts w:ascii="Source Sans Pro" w:hAnsi="Source Sans Pro"/>
          <w:sz w:val="22"/>
          <w:szCs w:val="22"/>
        </w:rPr>
        <w:t>.</w:t>
      </w:r>
      <w:r w:rsidR="006B4155">
        <w:rPr>
          <w:rFonts w:ascii="Source Sans Pro" w:hAnsi="Source Sans Pro"/>
          <w:sz w:val="22"/>
          <w:szCs w:val="22"/>
        </w:rPr>
        <w:t xml:space="preserve"> </w:t>
      </w:r>
      <w:r w:rsidR="000D4398">
        <w:rPr>
          <w:rFonts w:ascii="Source Sans Pro" w:hAnsi="Source Sans Pro"/>
          <w:sz w:val="22"/>
          <w:szCs w:val="22"/>
        </w:rPr>
        <w:t>As counsel put it during closing submissions:</w:t>
      </w:r>
      <w:r w:rsidR="00542B02">
        <w:rPr>
          <w:rStyle w:val="FootnoteReference"/>
          <w:rFonts w:ascii="Source Sans Pro" w:hAnsi="Source Sans Pro"/>
          <w:sz w:val="22"/>
          <w:szCs w:val="22"/>
        </w:rPr>
        <w:footnoteReference w:id="2"/>
      </w:r>
    </w:p>
    <w:p w14:paraId="6ABB0C75" w14:textId="77777777" w:rsidR="000D4398" w:rsidRDefault="000D4398" w:rsidP="00C17FFB">
      <w:pPr>
        <w:rPr>
          <w:rFonts w:ascii="Source Sans Pro" w:hAnsi="Source Sans Pro"/>
          <w:sz w:val="22"/>
          <w:szCs w:val="22"/>
        </w:rPr>
      </w:pPr>
    </w:p>
    <w:p w14:paraId="53508625" w14:textId="3BC97764" w:rsidR="000D4398" w:rsidRPr="000D4398" w:rsidRDefault="000D4398" w:rsidP="000D4398">
      <w:pPr>
        <w:ind w:left="567" w:right="855"/>
        <w:rPr>
          <w:rFonts w:ascii="Source Sans Pro" w:hAnsi="Source Sans Pro"/>
          <w:sz w:val="20"/>
          <w:szCs w:val="20"/>
        </w:rPr>
      </w:pPr>
      <w:r w:rsidRPr="000D4398">
        <w:rPr>
          <w:rFonts w:ascii="Source Sans Pro" w:hAnsi="Source Sans Pro"/>
          <w:sz w:val="20"/>
          <w:szCs w:val="20"/>
        </w:rPr>
        <w:t>The uniqueness of Bimblebox doesn’t come from its rarity. It’s not the last surviving species of anything, it’s not the last population of any poor creature or plant…It’s an example of something which was once everywhere in the Desert Uplands but increasingly no more and certainly not in a protected form. It’s a unique combination of an extraordinary number of things that are, or were, entirely ordinary</w:t>
      </w:r>
      <w:r>
        <w:rPr>
          <w:rFonts w:ascii="Source Sans Pro" w:hAnsi="Source Sans Pro"/>
          <w:sz w:val="20"/>
          <w:szCs w:val="20"/>
        </w:rPr>
        <w:t>.</w:t>
      </w:r>
    </w:p>
    <w:p w14:paraId="3A1CB888" w14:textId="77777777" w:rsidR="00A14EC9" w:rsidRDefault="00A14EC9" w:rsidP="00A14EC9">
      <w:pPr>
        <w:rPr>
          <w:rFonts w:ascii="Source Sans Pro" w:hAnsi="Source Sans Pro"/>
          <w:sz w:val="22"/>
          <w:szCs w:val="22"/>
        </w:rPr>
      </w:pPr>
    </w:p>
    <w:p w14:paraId="2D329C56" w14:textId="5DD64C7B" w:rsidR="00783318" w:rsidRDefault="0008220E" w:rsidP="00A14EC9">
      <w:pPr>
        <w:rPr>
          <w:rFonts w:ascii="Source Sans Pro" w:hAnsi="Source Sans Pro"/>
          <w:sz w:val="22"/>
          <w:szCs w:val="22"/>
        </w:rPr>
      </w:pPr>
      <w:r>
        <w:rPr>
          <w:rFonts w:ascii="Source Sans Pro" w:hAnsi="Source Sans Pro"/>
          <w:sz w:val="22"/>
          <w:szCs w:val="22"/>
        </w:rPr>
        <w:t>In 20</w:t>
      </w:r>
      <w:r w:rsidR="00C14AAC">
        <w:rPr>
          <w:rFonts w:ascii="Source Sans Pro" w:hAnsi="Source Sans Pro"/>
          <w:sz w:val="22"/>
          <w:szCs w:val="22"/>
        </w:rPr>
        <w:t>11</w:t>
      </w:r>
      <w:r w:rsidR="000362C7">
        <w:rPr>
          <w:rFonts w:ascii="Source Sans Pro" w:hAnsi="Source Sans Pro"/>
          <w:sz w:val="22"/>
          <w:szCs w:val="22"/>
        </w:rPr>
        <w:t>,</w:t>
      </w:r>
      <w:r>
        <w:rPr>
          <w:rFonts w:ascii="Source Sans Pro" w:hAnsi="Source Sans Pro"/>
          <w:sz w:val="22"/>
          <w:szCs w:val="22"/>
        </w:rPr>
        <w:t xml:space="preserve"> </w:t>
      </w:r>
      <w:r w:rsidR="00783318">
        <w:rPr>
          <w:rFonts w:ascii="Source Sans Pro" w:hAnsi="Source Sans Pro"/>
          <w:sz w:val="22"/>
          <w:szCs w:val="22"/>
        </w:rPr>
        <w:t xml:space="preserve">Clive Palmer’s </w:t>
      </w:r>
      <w:r w:rsidR="00783318" w:rsidRPr="249F436B">
        <w:rPr>
          <w:rFonts w:ascii="Source Sans Pro" w:hAnsi="Source Sans Pro"/>
          <w:sz w:val="22"/>
          <w:szCs w:val="22"/>
        </w:rPr>
        <w:t>Waratah Coal Pty Ltd (</w:t>
      </w:r>
      <w:r w:rsidR="00783318" w:rsidRPr="249F436B">
        <w:rPr>
          <w:rFonts w:ascii="Source Sans Pro" w:hAnsi="Source Sans Pro"/>
          <w:b/>
          <w:bCs/>
          <w:sz w:val="22"/>
          <w:szCs w:val="22"/>
        </w:rPr>
        <w:t>Waratah</w:t>
      </w:r>
      <w:r w:rsidR="00783318" w:rsidRPr="249F436B">
        <w:rPr>
          <w:rFonts w:ascii="Source Sans Pro" w:hAnsi="Source Sans Pro"/>
          <w:sz w:val="22"/>
          <w:szCs w:val="22"/>
        </w:rPr>
        <w:t xml:space="preserve">) </w:t>
      </w:r>
      <w:r w:rsidR="00894F67">
        <w:rPr>
          <w:rFonts w:ascii="Source Sans Pro" w:hAnsi="Source Sans Pro"/>
          <w:sz w:val="22"/>
          <w:szCs w:val="22"/>
        </w:rPr>
        <w:t>applied</w:t>
      </w:r>
      <w:r w:rsidR="00783318">
        <w:rPr>
          <w:rFonts w:ascii="Source Sans Pro" w:hAnsi="Source Sans Pro"/>
          <w:sz w:val="22"/>
          <w:szCs w:val="22"/>
        </w:rPr>
        <w:t xml:space="preserve"> to mine coal under Bimblebox </w:t>
      </w:r>
      <w:r w:rsidR="003B460B">
        <w:rPr>
          <w:rFonts w:ascii="Source Sans Pro" w:hAnsi="Source Sans Pro"/>
          <w:sz w:val="22"/>
          <w:szCs w:val="22"/>
        </w:rPr>
        <w:t xml:space="preserve">and </w:t>
      </w:r>
      <w:r w:rsidR="00FF7FA5">
        <w:rPr>
          <w:rFonts w:ascii="Source Sans Pro" w:hAnsi="Source Sans Pro"/>
          <w:sz w:val="22"/>
          <w:szCs w:val="22"/>
        </w:rPr>
        <w:t xml:space="preserve">the </w:t>
      </w:r>
      <w:r w:rsidR="003B460B">
        <w:rPr>
          <w:rFonts w:ascii="Source Sans Pro" w:hAnsi="Source Sans Pro"/>
          <w:sz w:val="22"/>
          <w:szCs w:val="22"/>
        </w:rPr>
        <w:t>surrounding area</w:t>
      </w:r>
      <w:r w:rsidR="004928FC">
        <w:rPr>
          <w:rFonts w:ascii="Source Sans Pro" w:hAnsi="Source Sans Pro"/>
          <w:sz w:val="22"/>
          <w:szCs w:val="22"/>
        </w:rPr>
        <w:t xml:space="preserve"> (</w:t>
      </w:r>
      <w:r w:rsidR="004928FC" w:rsidRPr="004928FC">
        <w:rPr>
          <w:rFonts w:ascii="Source Sans Pro" w:hAnsi="Source Sans Pro"/>
          <w:b/>
          <w:bCs/>
          <w:sz w:val="22"/>
          <w:szCs w:val="22"/>
        </w:rPr>
        <w:t>the Project</w:t>
      </w:r>
      <w:r w:rsidR="004928FC">
        <w:rPr>
          <w:rFonts w:ascii="Source Sans Pro" w:hAnsi="Source Sans Pro"/>
          <w:sz w:val="22"/>
          <w:szCs w:val="22"/>
        </w:rPr>
        <w:t>)</w:t>
      </w:r>
      <w:r w:rsidR="00783318">
        <w:rPr>
          <w:rFonts w:ascii="Source Sans Pro" w:hAnsi="Source Sans Pro"/>
          <w:sz w:val="22"/>
          <w:szCs w:val="22"/>
        </w:rPr>
        <w:t>.</w:t>
      </w:r>
      <w:r w:rsidR="004928FC">
        <w:rPr>
          <w:rFonts w:ascii="Source Sans Pro" w:hAnsi="Source Sans Pro"/>
          <w:sz w:val="22"/>
          <w:szCs w:val="22"/>
        </w:rPr>
        <w:t xml:space="preserve">  The Project</w:t>
      </w:r>
      <w:r w:rsidR="005D2EEA">
        <w:rPr>
          <w:rFonts w:ascii="Source Sans Pro" w:hAnsi="Source Sans Pro"/>
          <w:sz w:val="22"/>
          <w:szCs w:val="22"/>
        </w:rPr>
        <w:t xml:space="preserve"> initially</w:t>
      </w:r>
      <w:r w:rsidR="004928FC">
        <w:rPr>
          <w:rFonts w:ascii="Source Sans Pro" w:hAnsi="Source Sans Pro"/>
          <w:sz w:val="22"/>
          <w:szCs w:val="22"/>
        </w:rPr>
        <w:t xml:space="preserve"> aimed to </w:t>
      </w:r>
      <w:r w:rsidR="0094455C">
        <w:rPr>
          <w:rFonts w:ascii="Source Sans Pro" w:hAnsi="Source Sans Pro"/>
          <w:sz w:val="22"/>
          <w:szCs w:val="22"/>
        </w:rPr>
        <w:t xml:space="preserve">produce </w:t>
      </w:r>
      <w:r w:rsidR="00931E30">
        <w:rPr>
          <w:rFonts w:ascii="Source Sans Pro" w:hAnsi="Source Sans Pro"/>
          <w:sz w:val="22"/>
          <w:szCs w:val="22"/>
        </w:rPr>
        <w:t>40</w:t>
      </w:r>
      <w:r w:rsidR="0094455C">
        <w:rPr>
          <w:rFonts w:ascii="Source Sans Pro" w:hAnsi="Source Sans Pro"/>
          <w:sz w:val="22"/>
          <w:szCs w:val="22"/>
        </w:rPr>
        <w:t xml:space="preserve"> million tonnes of thermal coal over 40 years</w:t>
      </w:r>
      <w:r w:rsidR="000F47E7">
        <w:rPr>
          <w:rFonts w:ascii="Source Sans Pro" w:hAnsi="Source Sans Pro"/>
          <w:sz w:val="22"/>
          <w:szCs w:val="22"/>
        </w:rPr>
        <w:t>, which was</w:t>
      </w:r>
      <w:r w:rsidR="0023091B">
        <w:rPr>
          <w:rFonts w:ascii="Source Sans Pro" w:hAnsi="Source Sans Pro"/>
          <w:sz w:val="22"/>
          <w:szCs w:val="22"/>
        </w:rPr>
        <w:t xml:space="preserve"> later</w:t>
      </w:r>
      <w:r w:rsidR="000F47E7">
        <w:rPr>
          <w:rFonts w:ascii="Source Sans Pro" w:hAnsi="Source Sans Pro"/>
          <w:sz w:val="22"/>
          <w:szCs w:val="22"/>
        </w:rPr>
        <w:t xml:space="preserve"> revised to 761,</w:t>
      </w:r>
      <w:r w:rsidR="000506F8">
        <w:rPr>
          <w:rFonts w:ascii="Source Sans Pro" w:hAnsi="Source Sans Pro"/>
          <w:sz w:val="22"/>
          <w:szCs w:val="22"/>
        </w:rPr>
        <w:t>828 million tonnes over the life of the project, resulting in 1.58 billion tonnes of greenhouse gas emissions</w:t>
      </w:r>
      <w:r w:rsidR="00614906">
        <w:rPr>
          <w:rFonts w:ascii="Source Sans Pro" w:hAnsi="Source Sans Pro"/>
          <w:sz w:val="22"/>
          <w:szCs w:val="22"/>
        </w:rPr>
        <w:t xml:space="preserve"> (CO</w:t>
      </w:r>
      <w:r w:rsidR="00614906" w:rsidRPr="00614906">
        <w:rPr>
          <w:rFonts w:ascii="Source Sans Pro" w:hAnsi="Source Sans Pro"/>
          <w:sz w:val="22"/>
          <w:szCs w:val="22"/>
          <w:vertAlign w:val="subscript"/>
        </w:rPr>
        <w:t>2e</w:t>
      </w:r>
      <w:r w:rsidR="00614906">
        <w:rPr>
          <w:rFonts w:ascii="Source Sans Pro" w:hAnsi="Source Sans Pro"/>
          <w:sz w:val="22"/>
          <w:szCs w:val="22"/>
        </w:rPr>
        <w:t>)</w:t>
      </w:r>
      <w:r w:rsidR="000506F8">
        <w:rPr>
          <w:rFonts w:ascii="Source Sans Pro" w:hAnsi="Source Sans Pro"/>
          <w:sz w:val="22"/>
          <w:szCs w:val="22"/>
        </w:rPr>
        <w:t xml:space="preserve"> once burnt</w:t>
      </w:r>
      <w:r w:rsidR="00614906">
        <w:rPr>
          <w:rFonts w:ascii="Source Sans Pro" w:hAnsi="Source Sans Pro"/>
          <w:sz w:val="22"/>
          <w:szCs w:val="22"/>
        </w:rPr>
        <w:t>.</w:t>
      </w:r>
      <w:r w:rsidR="0099743A">
        <w:rPr>
          <w:rStyle w:val="FootnoteReference"/>
          <w:rFonts w:ascii="Source Sans Pro" w:hAnsi="Source Sans Pro"/>
          <w:sz w:val="22"/>
          <w:szCs w:val="22"/>
        </w:rPr>
        <w:footnoteReference w:id="3"/>
      </w:r>
    </w:p>
    <w:p w14:paraId="48F72343" w14:textId="77777777" w:rsidR="00783318" w:rsidRDefault="00783318" w:rsidP="00A14EC9">
      <w:pPr>
        <w:rPr>
          <w:rFonts w:ascii="Source Sans Pro" w:hAnsi="Source Sans Pro"/>
          <w:sz w:val="22"/>
          <w:szCs w:val="22"/>
        </w:rPr>
      </w:pPr>
    </w:p>
    <w:p w14:paraId="50CE636D" w14:textId="2FF96E40" w:rsidR="00933CC6" w:rsidRDefault="005E7F1F" w:rsidP="00CA0099">
      <w:pPr>
        <w:rPr>
          <w:rFonts w:ascii="Source Sans Pro" w:hAnsi="Source Sans Pro"/>
          <w:sz w:val="22"/>
          <w:szCs w:val="22"/>
        </w:rPr>
      </w:pPr>
      <w:r>
        <w:rPr>
          <w:rFonts w:ascii="Source Sans Pro" w:hAnsi="Source Sans Pro"/>
          <w:sz w:val="22"/>
          <w:szCs w:val="22"/>
        </w:rPr>
        <w:t>In Queensland</w:t>
      </w:r>
      <w:r w:rsidR="00AB697A">
        <w:rPr>
          <w:rFonts w:ascii="Source Sans Pro" w:hAnsi="Source Sans Pro"/>
          <w:sz w:val="22"/>
          <w:szCs w:val="22"/>
        </w:rPr>
        <w:t>,</w:t>
      </w:r>
      <w:r>
        <w:rPr>
          <w:rFonts w:ascii="Source Sans Pro" w:hAnsi="Source Sans Pro"/>
          <w:sz w:val="22"/>
          <w:szCs w:val="22"/>
        </w:rPr>
        <w:t xml:space="preserve"> coal is the property of the </w:t>
      </w:r>
      <w:r w:rsidR="00212138">
        <w:rPr>
          <w:rFonts w:ascii="Source Sans Pro" w:hAnsi="Source Sans Pro"/>
          <w:sz w:val="22"/>
          <w:szCs w:val="22"/>
        </w:rPr>
        <w:t xml:space="preserve">State </w:t>
      </w:r>
      <w:r w:rsidR="00E04C7A">
        <w:rPr>
          <w:rFonts w:ascii="Source Sans Pro" w:hAnsi="Source Sans Pro"/>
          <w:sz w:val="22"/>
          <w:szCs w:val="22"/>
        </w:rPr>
        <w:t xml:space="preserve">of </w:t>
      </w:r>
      <w:r w:rsidR="00212138">
        <w:rPr>
          <w:rFonts w:ascii="Source Sans Pro" w:hAnsi="Source Sans Pro"/>
          <w:sz w:val="22"/>
          <w:szCs w:val="22"/>
        </w:rPr>
        <w:t>Queensland</w:t>
      </w:r>
      <w:r w:rsidR="004164DC">
        <w:rPr>
          <w:rFonts w:ascii="Source Sans Pro" w:hAnsi="Source Sans Pro"/>
          <w:sz w:val="22"/>
          <w:szCs w:val="22"/>
        </w:rPr>
        <w:t>.</w:t>
      </w:r>
      <w:r w:rsidR="00251207">
        <w:rPr>
          <w:rStyle w:val="FootnoteReference"/>
          <w:rFonts w:ascii="Source Sans Pro" w:hAnsi="Source Sans Pro"/>
          <w:sz w:val="22"/>
          <w:szCs w:val="22"/>
        </w:rPr>
        <w:footnoteReference w:id="4"/>
      </w:r>
      <w:r w:rsidR="00212138">
        <w:rPr>
          <w:rFonts w:ascii="Source Sans Pro" w:hAnsi="Source Sans Pro"/>
          <w:sz w:val="22"/>
          <w:szCs w:val="22"/>
        </w:rPr>
        <w:t xml:space="preserve"> </w:t>
      </w:r>
      <w:r w:rsidR="004164DC">
        <w:rPr>
          <w:rFonts w:ascii="Source Sans Pro" w:hAnsi="Source Sans Pro"/>
          <w:sz w:val="22"/>
          <w:szCs w:val="22"/>
        </w:rPr>
        <w:t>L</w:t>
      </w:r>
      <w:r>
        <w:rPr>
          <w:rFonts w:ascii="Source Sans Pro" w:hAnsi="Source Sans Pro"/>
          <w:sz w:val="22"/>
          <w:szCs w:val="22"/>
        </w:rPr>
        <w:t>arge coal mines require</w:t>
      </w:r>
      <w:r w:rsidR="00212138">
        <w:rPr>
          <w:rFonts w:ascii="Source Sans Pro" w:hAnsi="Source Sans Pro"/>
          <w:sz w:val="22"/>
          <w:szCs w:val="22"/>
        </w:rPr>
        <w:t xml:space="preserve"> both a mining lease (</w:t>
      </w:r>
      <w:r w:rsidR="00212138" w:rsidRPr="00812AC8">
        <w:rPr>
          <w:rFonts w:ascii="Source Sans Pro" w:hAnsi="Source Sans Pro"/>
          <w:b/>
          <w:bCs/>
          <w:sz w:val="22"/>
          <w:szCs w:val="22"/>
        </w:rPr>
        <w:t>ML</w:t>
      </w:r>
      <w:r w:rsidR="00212138">
        <w:rPr>
          <w:rFonts w:ascii="Source Sans Pro" w:hAnsi="Source Sans Pro"/>
          <w:sz w:val="22"/>
          <w:szCs w:val="22"/>
        </w:rPr>
        <w:t>) and environmental authority (</w:t>
      </w:r>
      <w:r w:rsidR="00212138" w:rsidRPr="00812AC8">
        <w:rPr>
          <w:rFonts w:ascii="Source Sans Pro" w:hAnsi="Source Sans Pro"/>
          <w:b/>
          <w:bCs/>
          <w:sz w:val="22"/>
          <w:szCs w:val="22"/>
        </w:rPr>
        <w:t>EA</w:t>
      </w:r>
      <w:r w:rsidR="00212138">
        <w:rPr>
          <w:rFonts w:ascii="Source Sans Pro" w:hAnsi="Source Sans Pro"/>
          <w:sz w:val="22"/>
          <w:szCs w:val="22"/>
        </w:rPr>
        <w:t>)</w:t>
      </w:r>
      <w:r w:rsidR="002450F9">
        <w:rPr>
          <w:rFonts w:ascii="Source Sans Pro" w:hAnsi="Source Sans Pro"/>
          <w:sz w:val="22"/>
          <w:szCs w:val="22"/>
        </w:rPr>
        <w:t xml:space="preserve"> from the Queensland government</w:t>
      </w:r>
      <w:r w:rsidR="00212138">
        <w:rPr>
          <w:rFonts w:ascii="Source Sans Pro" w:hAnsi="Source Sans Pro"/>
          <w:sz w:val="22"/>
          <w:szCs w:val="22"/>
        </w:rPr>
        <w:t xml:space="preserve"> to mine the coal.  A</w:t>
      </w:r>
      <w:r>
        <w:rPr>
          <w:rFonts w:ascii="Source Sans Pro" w:hAnsi="Source Sans Pro"/>
          <w:sz w:val="22"/>
          <w:szCs w:val="22"/>
        </w:rPr>
        <w:t>ny person may object</w:t>
      </w:r>
      <w:r w:rsidR="00212138">
        <w:rPr>
          <w:rFonts w:ascii="Source Sans Pro" w:hAnsi="Source Sans Pro"/>
          <w:sz w:val="22"/>
          <w:szCs w:val="22"/>
        </w:rPr>
        <w:t xml:space="preserve"> to the gra</w:t>
      </w:r>
      <w:r w:rsidR="001A5038">
        <w:rPr>
          <w:rFonts w:ascii="Source Sans Pro" w:hAnsi="Source Sans Pro"/>
          <w:sz w:val="22"/>
          <w:szCs w:val="22"/>
        </w:rPr>
        <w:t>nt of the ML and EA</w:t>
      </w:r>
      <w:r w:rsidR="0098621E">
        <w:rPr>
          <w:rFonts w:ascii="Source Sans Pro" w:hAnsi="Source Sans Pro"/>
          <w:sz w:val="22"/>
          <w:szCs w:val="22"/>
        </w:rPr>
        <w:t xml:space="preserve">, and objections are referred to </w:t>
      </w:r>
      <w:r w:rsidR="005730F5">
        <w:rPr>
          <w:rFonts w:ascii="Source Sans Pro" w:hAnsi="Source Sans Pro"/>
          <w:sz w:val="22"/>
          <w:szCs w:val="22"/>
        </w:rPr>
        <w:t>an</w:t>
      </w:r>
      <w:r w:rsidR="0098621E">
        <w:rPr>
          <w:rFonts w:ascii="Source Sans Pro" w:hAnsi="Source Sans Pro"/>
          <w:sz w:val="22"/>
          <w:szCs w:val="22"/>
        </w:rPr>
        <w:t xml:space="preserve"> independent Land Court</w:t>
      </w:r>
      <w:r w:rsidR="00812AC8">
        <w:rPr>
          <w:rFonts w:ascii="Source Sans Pro" w:hAnsi="Source Sans Pro"/>
          <w:sz w:val="22"/>
          <w:szCs w:val="22"/>
        </w:rPr>
        <w:t xml:space="preserve"> to hear evidence and submissions before </w:t>
      </w:r>
      <w:r w:rsidR="00F26DB1">
        <w:rPr>
          <w:rFonts w:ascii="Source Sans Pro" w:hAnsi="Source Sans Pro"/>
          <w:sz w:val="22"/>
          <w:szCs w:val="22"/>
        </w:rPr>
        <w:t>the Court makes</w:t>
      </w:r>
      <w:r w:rsidR="00812AC8">
        <w:rPr>
          <w:rFonts w:ascii="Source Sans Pro" w:hAnsi="Source Sans Pro"/>
          <w:sz w:val="22"/>
          <w:szCs w:val="22"/>
        </w:rPr>
        <w:t xml:space="preserve"> a recommendation to the final decision makers.</w:t>
      </w:r>
    </w:p>
    <w:p w14:paraId="0F4EE65F" w14:textId="77777777" w:rsidR="005E7F1F" w:rsidRDefault="005E7F1F" w:rsidP="00CA0099">
      <w:pPr>
        <w:rPr>
          <w:rFonts w:ascii="Source Sans Pro" w:hAnsi="Source Sans Pro"/>
          <w:sz w:val="22"/>
          <w:szCs w:val="22"/>
        </w:rPr>
      </w:pPr>
    </w:p>
    <w:p w14:paraId="01B7427C" w14:textId="7E1525D6" w:rsidR="00CD6941" w:rsidRDefault="007A6361" w:rsidP="00CA0099">
      <w:pPr>
        <w:rPr>
          <w:rFonts w:ascii="Source Sans Pro" w:hAnsi="Source Sans Pro"/>
          <w:sz w:val="22"/>
          <w:szCs w:val="22"/>
        </w:rPr>
      </w:pPr>
      <w:r>
        <w:rPr>
          <w:rFonts w:ascii="Source Sans Pro" w:hAnsi="Source Sans Pro"/>
          <w:sz w:val="22"/>
          <w:szCs w:val="22"/>
        </w:rPr>
        <w:t xml:space="preserve">When </w:t>
      </w:r>
      <w:r w:rsidR="0051580A">
        <w:rPr>
          <w:rFonts w:ascii="Source Sans Pro" w:hAnsi="Source Sans Pro"/>
          <w:sz w:val="22"/>
          <w:szCs w:val="22"/>
        </w:rPr>
        <w:t>Warata</w:t>
      </w:r>
      <w:r w:rsidR="006471E3">
        <w:rPr>
          <w:rFonts w:ascii="Source Sans Pro" w:hAnsi="Source Sans Pro"/>
          <w:sz w:val="22"/>
          <w:szCs w:val="22"/>
        </w:rPr>
        <w:t xml:space="preserve">h’s applications for an ML and EA for the Project </w:t>
      </w:r>
      <w:r w:rsidR="00695124">
        <w:rPr>
          <w:rFonts w:ascii="Source Sans Pro" w:hAnsi="Source Sans Pro"/>
          <w:sz w:val="22"/>
          <w:szCs w:val="22"/>
        </w:rPr>
        <w:t>opened for</w:t>
      </w:r>
      <w:r w:rsidR="006471E3">
        <w:rPr>
          <w:rFonts w:ascii="Source Sans Pro" w:hAnsi="Source Sans Pro"/>
          <w:sz w:val="22"/>
          <w:szCs w:val="22"/>
        </w:rPr>
        <w:t xml:space="preserve"> objections, TBA objected</w:t>
      </w:r>
      <w:r w:rsidR="00F614C4">
        <w:rPr>
          <w:rFonts w:ascii="Source Sans Pro" w:hAnsi="Source Sans Pro"/>
          <w:sz w:val="22"/>
          <w:szCs w:val="22"/>
        </w:rPr>
        <w:t>.  They were joined by Youth Verdict Ltd (</w:t>
      </w:r>
      <w:r w:rsidR="00F614C4" w:rsidRPr="000D076F">
        <w:rPr>
          <w:rFonts w:ascii="Source Sans Pro" w:hAnsi="Source Sans Pro"/>
          <w:b/>
          <w:bCs/>
          <w:sz w:val="22"/>
          <w:szCs w:val="22"/>
        </w:rPr>
        <w:t>YV</w:t>
      </w:r>
      <w:r w:rsidR="00F614C4">
        <w:rPr>
          <w:rFonts w:ascii="Source Sans Pro" w:hAnsi="Source Sans Pro"/>
          <w:sz w:val="22"/>
          <w:szCs w:val="22"/>
        </w:rPr>
        <w:t>), an organisation of</w:t>
      </w:r>
      <w:r w:rsidR="00CD6941">
        <w:rPr>
          <w:rFonts w:ascii="Source Sans Pro" w:hAnsi="Source Sans Pro"/>
          <w:sz w:val="22"/>
          <w:szCs w:val="22"/>
        </w:rPr>
        <w:t xml:space="preserve"> young people</w:t>
      </w:r>
      <w:r w:rsidR="006A6D18">
        <w:rPr>
          <w:rFonts w:ascii="Source Sans Pro" w:hAnsi="Source Sans Pro"/>
          <w:sz w:val="22"/>
          <w:szCs w:val="22"/>
        </w:rPr>
        <w:t xml:space="preserve"> led by</w:t>
      </w:r>
      <w:r w:rsidR="00CD6941">
        <w:rPr>
          <w:rFonts w:ascii="Source Sans Pro" w:hAnsi="Source Sans Pro"/>
          <w:sz w:val="22"/>
          <w:szCs w:val="22"/>
        </w:rPr>
        <w:t xml:space="preserve"> First Nations</w:t>
      </w:r>
      <w:r w:rsidR="00F2035B">
        <w:rPr>
          <w:rFonts w:ascii="Source Sans Pro" w:hAnsi="Source Sans Pro"/>
          <w:sz w:val="22"/>
          <w:szCs w:val="22"/>
        </w:rPr>
        <w:t xml:space="preserve"> people</w:t>
      </w:r>
      <w:r w:rsidR="00CD6941">
        <w:rPr>
          <w:rFonts w:ascii="Source Sans Pro" w:hAnsi="Source Sans Pro"/>
          <w:sz w:val="22"/>
          <w:szCs w:val="22"/>
        </w:rPr>
        <w:t xml:space="preserve">, </w:t>
      </w:r>
      <w:r w:rsidR="000D076F">
        <w:rPr>
          <w:rFonts w:ascii="Source Sans Pro" w:hAnsi="Source Sans Pro"/>
          <w:sz w:val="22"/>
          <w:szCs w:val="22"/>
        </w:rPr>
        <w:t xml:space="preserve">concerned about the impacts of climate change on </w:t>
      </w:r>
      <w:r w:rsidR="00D76FB6">
        <w:rPr>
          <w:rFonts w:ascii="Source Sans Pro" w:hAnsi="Source Sans Pro"/>
          <w:sz w:val="22"/>
          <w:szCs w:val="22"/>
        </w:rPr>
        <w:t xml:space="preserve">First Nations </w:t>
      </w:r>
      <w:r w:rsidR="000D076F">
        <w:rPr>
          <w:rFonts w:ascii="Source Sans Pro" w:hAnsi="Source Sans Pro"/>
          <w:sz w:val="22"/>
          <w:szCs w:val="22"/>
        </w:rPr>
        <w:t>culture and future generations</w:t>
      </w:r>
      <w:r w:rsidR="00EB221D">
        <w:rPr>
          <w:rFonts w:ascii="Source Sans Pro" w:hAnsi="Source Sans Pro"/>
          <w:sz w:val="22"/>
          <w:szCs w:val="22"/>
        </w:rPr>
        <w:t>, among other things</w:t>
      </w:r>
      <w:r w:rsidR="000D076F">
        <w:rPr>
          <w:rFonts w:ascii="Source Sans Pro" w:hAnsi="Source Sans Pro"/>
          <w:sz w:val="22"/>
          <w:szCs w:val="22"/>
        </w:rPr>
        <w:t>.</w:t>
      </w:r>
    </w:p>
    <w:p w14:paraId="2AB0A5A8" w14:textId="77777777" w:rsidR="0071245A" w:rsidRDefault="0071245A" w:rsidP="00CA0099">
      <w:pPr>
        <w:rPr>
          <w:rFonts w:ascii="Source Sans Pro" w:hAnsi="Source Sans Pro"/>
          <w:sz w:val="22"/>
          <w:szCs w:val="22"/>
        </w:rPr>
      </w:pPr>
    </w:p>
    <w:p w14:paraId="0EECFD2C" w14:textId="77777777" w:rsidR="004E1505" w:rsidRDefault="004E1505" w:rsidP="00CA0099">
      <w:pPr>
        <w:rPr>
          <w:rFonts w:ascii="Source Sans Pro" w:hAnsi="Source Sans Pro"/>
          <w:sz w:val="22"/>
          <w:szCs w:val="22"/>
        </w:rPr>
      </w:pPr>
    </w:p>
    <w:p w14:paraId="3FA889D7" w14:textId="5707F6DF" w:rsidR="004E1505" w:rsidRPr="00CC2E3B" w:rsidRDefault="00CC2E3B" w:rsidP="00CA0099">
      <w:pPr>
        <w:rPr>
          <w:rStyle w:val="IntenseEmphasis"/>
          <w:sz w:val="28"/>
          <w:szCs w:val="28"/>
        </w:rPr>
      </w:pPr>
      <w:r w:rsidRPr="00CC2E3B">
        <w:rPr>
          <w:rStyle w:val="IntenseEmphasis"/>
          <w:sz w:val="28"/>
          <w:szCs w:val="28"/>
        </w:rPr>
        <w:lastRenderedPageBreak/>
        <w:t>The Hearing</w:t>
      </w:r>
    </w:p>
    <w:p w14:paraId="257F0208" w14:textId="34B93164" w:rsidR="0071245A" w:rsidRDefault="00FA67E3" w:rsidP="00CA0099">
      <w:pPr>
        <w:rPr>
          <w:rFonts w:ascii="Source Sans Pro" w:hAnsi="Source Sans Pro"/>
          <w:sz w:val="22"/>
          <w:szCs w:val="22"/>
        </w:rPr>
      </w:pPr>
      <w:r>
        <w:rPr>
          <w:rFonts w:ascii="Source Sans Pro" w:hAnsi="Source Sans Pro"/>
          <w:sz w:val="22"/>
          <w:szCs w:val="22"/>
        </w:rPr>
        <w:t>TBA and YV</w:t>
      </w:r>
      <w:r w:rsidR="00FC4387">
        <w:rPr>
          <w:rFonts w:ascii="Source Sans Pro" w:hAnsi="Source Sans Pro"/>
          <w:sz w:val="22"/>
          <w:szCs w:val="22"/>
        </w:rPr>
        <w:t xml:space="preserve"> </w:t>
      </w:r>
      <w:r w:rsidR="00D4639F">
        <w:rPr>
          <w:rFonts w:ascii="Source Sans Pro" w:hAnsi="Source Sans Pro"/>
          <w:sz w:val="22"/>
          <w:szCs w:val="22"/>
        </w:rPr>
        <w:t>(</w:t>
      </w:r>
      <w:r w:rsidR="00D4639F" w:rsidRPr="001E4282">
        <w:rPr>
          <w:rFonts w:ascii="Source Sans Pro" w:hAnsi="Source Sans Pro"/>
          <w:b/>
          <w:bCs/>
          <w:sz w:val="22"/>
          <w:szCs w:val="22"/>
        </w:rPr>
        <w:t>TBAYV</w:t>
      </w:r>
      <w:r w:rsidR="00D4639F">
        <w:rPr>
          <w:rFonts w:ascii="Source Sans Pro" w:hAnsi="Source Sans Pro"/>
          <w:sz w:val="22"/>
          <w:szCs w:val="22"/>
        </w:rPr>
        <w:t xml:space="preserve">) </w:t>
      </w:r>
      <w:r w:rsidR="00F2035B">
        <w:rPr>
          <w:rFonts w:ascii="Source Sans Pro" w:hAnsi="Source Sans Pro"/>
          <w:sz w:val="22"/>
          <w:szCs w:val="22"/>
        </w:rPr>
        <w:t xml:space="preserve">were both represented by the Environmental Defenders Office Ltd </w:t>
      </w:r>
      <w:r w:rsidR="005B26C9">
        <w:rPr>
          <w:rFonts w:ascii="Source Sans Pro" w:hAnsi="Source Sans Pro"/>
          <w:sz w:val="22"/>
          <w:szCs w:val="22"/>
        </w:rPr>
        <w:t>in the Land Court and both</w:t>
      </w:r>
      <w:r>
        <w:rPr>
          <w:rFonts w:ascii="Source Sans Pro" w:hAnsi="Source Sans Pro"/>
          <w:sz w:val="22"/>
          <w:szCs w:val="22"/>
        </w:rPr>
        <w:t xml:space="preserve"> objected on the basis of local impacts, climat</w:t>
      </w:r>
      <w:r w:rsidR="006966A6">
        <w:rPr>
          <w:rFonts w:ascii="Source Sans Pro" w:hAnsi="Source Sans Pro"/>
          <w:sz w:val="22"/>
          <w:szCs w:val="22"/>
        </w:rPr>
        <w:t>e change</w:t>
      </w:r>
      <w:r w:rsidR="001D5A76">
        <w:rPr>
          <w:rFonts w:ascii="Source Sans Pro" w:hAnsi="Source Sans Pro"/>
          <w:sz w:val="22"/>
          <w:szCs w:val="22"/>
        </w:rPr>
        <w:t xml:space="preserve"> and human rights grounds.</w:t>
      </w:r>
      <w:r w:rsidR="0071245A" w:rsidRPr="249F436B">
        <w:rPr>
          <w:rFonts w:ascii="Source Sans Pro" w:hAnsi="Source Sans Pro"/>
          <w:sz w:val="22"/>
          <w:szCs w:val="22"/>
        </w:rPr>
        <w:t xml:space="preserve"> </w:t>
      </w:r>
      <w:r w:rsidR="007E227F">
        <w:rPr>
          <w:rFonts w:ascii="Source Sans Pro" w:hAnsi="Source Sans Pro"/>
          <w:sz w:val="22"/>
          <w:szCs w:val="22"/>
        </w:rPr>
        <w:t xml:space="preserve">  They were joined</w:t>
      </w:r>
      <w:r w:rsidR="009312D8">
        <w:rPr>
          <w:rFonts w:ascii="Source Sans Pro" w:hAnsi="Source Sans Pro"/>
          <w:sz w:val="22"/>
          <w:szCs w:val="22"/>
        </w:rPr>
        <w:t xml:space="preserve"> in court</w:t>
      </w:r>
      <w:r w:rsidR="007E227F">
        <w:rPr>
          <w:rFonts w:ascii="Source Sans Pro" w:hAnsi="Source Sans Pro"/>
          <w:sz w:val="22"/>
          <w:szCs w:val="22"/>
        </w:rPr>
        <w:t xml:space="preserve"> </w:t>
      </w:r>
      <w:r w:rsidR="008B0E46">
        <w:rPr>
          <w:rFonts w:ascii="Source Sans Pro" w:hAnsi="Source Sans Pro"/>
          <w:sz w:val="22"/>
          <w:szCs w:val="22"/>
        </w:rPr>
        <w:t xml:space="preserve">by </w:t>
      </w:r>
      <w:r w:rsidR="008B0E46" w:rsidRPr="249F436B">
        <w:rPr>
          <w:rFonts w:ascii="Source Sans Pro" w:hAnsi="Source Sans Pro"/>
          <w:sz w:val="22"/>
          <w:szCs w:val="22"/>
        </w:rPr>
        <w:t>John and Susan Brinnand</w:t>
      </w:r>
      <w:r w:rsidR="008B0E46">
        <w:rPr>
          <w:rFonts w:ascii="Source Sans Pro" w:hAnsi="Source Sans Pro"/>
          <w:sz w:val="22"/>
          <w:szCs w:val="22"/>
        </w:rPr>
        <w:t>,</w:t>
      </w:r>
      <w:r w:rsidR="008B0E46" w:rsidRPr="249F436B">
        <w:rPr>
          <w:rFonts w:ascii="Source Sans Pro" w:hAnsi="Source Sans Pro"/>
          <w:sz w:val="22"/>
          <w:szCs w:val="22"/>
        </w:rPr>
        <w:t xml:space="preserve"> </w:t>
      </w:r>
      <w:r w:rsidR="008B0E46">
        <w:rPr>
          <w:rFonts w:ascii="Source Sans Pro" w:hAnsi="Source Sans Pro"/>
          <w:sz w:val="22"/>
          <w:szCs w:val="22"/>
        </w:rPr>
        <w:t>who</w:t>
      </w:r>
      <w:r w:rsidR="0011627D">
        <w:rPr>
          <w:rFonts w:ascii="Source Sans Pro" w:hAnsi="Source Sans Pro"/>
          <w:sz w:val="22"/>
          <w:szCs w:val="22"/>
        </w:rPr>
        <w:t xml:space="preserve"> also</w:t>
      </w:r>
      <w:r w:rsidR="008B0E46">
        <w:rPr>
          <w:rFonts w:ascii="Source Sans Pro" w:hAnsi="Source Sans Pro"/>
          <w:sz w:val="22"/>
          <w:szCs w:val="22"/>
        </w:rPr>
        <w:t xml:space="preserve"> </w:t>
      </w:r>
      <w:r w:rsidR="008B0E46" w:rsidRPr="249F436B">
        <w:rPr>
          <w:rFonts w:ascii="Source Sans Pro" w:hAnsi="Source Sans Pro"/>
          <w:sz w:val="22"/>
          <w:szCs w:val="22"/>
        </w:rPr>
        <w:t>objected</w:t>
      </w:r>
      <w:r w:rsidR="008B0E46">
        <w:rPr>
          <w:rFonts w:ascii="Source Sans Pro" w:hAnsi="Source Sans Pro"/>
          <w:sz w:val="22"/>
          <w:szCs w:val="22"/>
        </w:rPr>
        <w:t xml:space="preserve"> on nature and climate grounds</w:t>
      </w:r>
      <w:r w:rsidR="009312D8">
        <w:rPr>
          <w:rFonts w:ascii="Source Sans Pro" w:hAnsi="Source Sans Pro"/>
          <w:sz w:val="22"/>
          <w:szCs w:val="22"/>
        </w:rPr>
        <w:t xml:space="preserve">.  </w:t>
      </w:r>
      <w:r w:rsidR="002C55C1">
        <w:rPr>
          <w:rFonts w:ascii="Source Sans Pro" w:hAnsi="Source Sans Pro"/>
          <w:sz w:val="22"/>
          <w:szCs w:val="22"/>
        </w:rPr>
        <w:t>Over a dozen</w:t>
      </w:r>
      <w:r w:rsidR="009312D8">
        <w:rPr>
          <w:rFonts w:ascii="Source Sans Pro" w:hAnsi="Source Sans Pro"/>
          <w:sz w:val="22"/>
          <w:szCs w:val="22"/>
        </w:rPr>
        <w:t xml:space="preserve"> other objectors elected not to make submissions or provide further evidence to the court.</w:t>
      </w:r>
    </w:p>
    <w:p w14:paraId="2D667699" w14:textId="77777777" w:rsidR="007E227F" w:rsidRDefault="007E227F" w:rsidP="00CA0099">
      <w:pPr>
        <w:rPr>
          <w:rFonts w:ascii="Source Sans Pro" w:hAnsi="Source Sans Pro"/>
          <w:sz w:val="22"/>
          <w:szCs w:val="22"/>
        </w:rPr>
      </w:pPr>
    </w:p>
    <w:p w14:paraId="4D3C5A14" w14:textId="40E80737" w:rsidR="00A14EC9" w:rsidRDefault="00E21498" w:rsidP="00CA0099">
      <w:pPr>
        <w:rPr>
          <w:rFonts w:ascii="Source Sans Pro" w:hAnsi="Source Sans Pro"/>
          <w:sz w:val="22"/>
          <w:szCs w:val="22"/>
        </w:rPr>
      </w:pPr>
      <w:r>
        <w:rPr>
          <w:rFonts w:ascii="Source Sans Pro" w:hAnsi="Source Sans Pro"/>
          <w:sz w:val="22"/>
          <w:szCs w:val="22"/>
        </w:rPr>
        <w:t xml:space="preserve">These </w:t>
      </w:r>
      <w:r w:rsidR="00F10A6B">
        <w:rPr>
          <w:rFonts w:ascii="Source Sans Pro" w:hAnsi="Source Sans Pro"/>
          <w:sz w:val="22"/>
          <w:szCs w:val="22"/>
        </w:rPr>
        <w:t xml:space="preserve">objections </w:t>
      </w:r>
      <w:r>
        <w:rPr>
          <w:rFonts w:ascii="Source Sans Pro" w:hAnsi="Source Sans Pro"/>
          <w:sz w:val="22"/>
          <w:szCs w:val="22"/>
        </w:rPr>
        <w:t xml:space="preserve">were the first </w:t>
      </w:r>
      <w:r w:rsidR="00F10A6B">
        <w:rPr>
          <w:rFonts w:ascii="Source Sans Pro" w:hAnsi="Source Sans Pro"/>
          <w:sz w:val="22"/>
          <w:szCs w:val="22"/>
        </w:rPr>
        <w:t xml:space="preserve">to be </w:t>
      </w:r>
      <w:r w:rsidR="00614C7C">
        <w:rPr>
          <w:rFonts w:ascii="Source Sans Pro" w:hAnsi="Source Sans Pro"/>
          <w:sz w:val="22"/>
          <w:szCs w:val="22"/>
        </w:rPr>
        <w:t>referred to</w:t>
      </w:r>
      <w:r w:rsidR="00F7734A">
        <w:rPr>
          <w:rFonts w:ascii="Source Sans Pro" w:hAnsi="Source Sans Pro"/>
          <w:sz w:val="22"/>
          <w:szCs w:val="22"/>
        </w:rPr>
        <w:t xml:space="preserve"> the</w:t>
      </w:r>
      <w:r>
        <w:rPr>
          <w:rFonts w:ascii="Source Sans Pro" w:hAnsi="Source Sans Pro"/>
          <w:sz w:val="22"/>
          <w:szCs w:val="22"/>
        </w:rPr>
        <w:t xml:space="preserve"> Court</w:t>
      </w:r>
      <w:r w:rsidR="00F10A6B">
        <w:rPr>
          <w:rFonts w:ascii="Source Sans Pro" w:hAnsi="Source Sans Pro"/>
          <w:sz w:val="22"/>
          <w:szCs w:val="22"/>
        </w:rPr>
        <w:t xml:space="preserve"> after the commencement of the </w:t>
      </w:r>
      <w:r w:rsidR="00F10A6B" w:rsidRPr="00E21498">
        <w:rPr>
          <w:rFonts w:ascii="Source Sans Pro" w:hAnsi="Source Sans Pro"/>
          <w:i/>
          <w:iCs/>
          <w:sz w:val="22"/>
          <w:szCs w:val="22"/>
        </w:rPr>
        <w:t>Human Rights Act 2019</w:t>
      </w:r>
      <w:r>
        <w:rPr>
          <w:rFonts w:ascii="Source Sans Pro" w:hAnsi="Source Sans Pro"/>
          <w:sz w:val="22"/>
          <w:szCs w:val="22"/>
        </w:rPr>
        <w:t xml:space="preserve"> (Qld)</w:t>
      </w:r>
      <w:r w:rsidR="00434859">
        <w:rPr>
          <w:rFonts w:ascii="Source Sans Pro" w:hAnsi="Source Sans Pro"/>
          <w:sz w:val="22"/>
          <w:szCs w:val="22"/>
        </w:rPr>
        <w:t xml:space="preserve"> (</w:t>
      </w:r>
      <w:r w:rsidR="00434859" w:rsidRPr="00434859">
        <w:rPr>
          <w:rFonts w:ascii="Source Sans Pro" w:hAnsi="Source Sans Pro"/>
          <w:b/>
          <w:bCs/>
          <w:sz w:val="22"/>
          <w:szCs w:val="22"/>
        </w:rPr>
        <w:t>HR Act</w:t>
      </w:r>
      <w:r w:rsidR="00434859">
        <w:rPr>
          <w:rFonts w:ascii="Source Sans Pro" w:hAnsi="Source Sans Pro"/>
          <w:sz w:val="22"/>
          <w:szCs w:val="22"/>
        </w:rPr>
        <w:t>)</w:t>
      </w:r>
      <w:r w:rsidR="00E16B6C">
        <w:rPr>
          <w:rFonts w:ascii="Source Sans Pro" w:hAnsi="Source Sans Pro"/>
          <w:sz w:val="22"/>
          <w:szCs w:val="22"/>
        </w:rPr>
        <w:t xml:space="preserve">, and </w:t>
      </w:r>
      <w:r w:rsidR="005B26C9">
        <w:rPr>
          <w:rFonts w:ascii="Source Sans Pro" w:hAnsi="Source Sans Pro"/>
          <w:sz w:val="22"/>
          <w:szCs w:val="22"/>
        </w:rPr>
        <w:t xml:space="preserve">it </w:t>
      </w:r>
      <w:r w:rsidR="00A83E8F">
        <w:rPr>
          <w:rFonts w:ascii="Source Sans Pro" w:hAnsi="Source Sans Pro"/>
          <w:sz w:val="22"/>
          <w:szCs w:val="22"/>
        </w:rPr>
        <w:t xml:space="preserve">was </w:t>
      </w:r>
      <w:r w:rsidR="00E16B6C">
        <w:rPr>
          <w:rFonts w:ascii="Source Sans Pro" w:hAnsi="Source Sans Pro"/>
          <w:sz w:val="22"/>
          <w:szCs w:val="22"/>
        </w:rPr>
        <w:t>the first</w:t>
      </w:r>
      <w:r w:rsidR="5E9F4843" w:rsidRPr="249F436B">
        <w:rPr>
          <w:rFonts w:ascii="Source Sans Pro" w:hAnsi="Source Sans Pro"/>
          <w:sz w:val="22"/>
          <w:szCs w:val="22"/>
        </w:rPr>
        <w:t xml:space="preserve"> time the Land Court has heard </w:t>
      </w:r>
      <w:r w:rsidR="00E16B6C">
        <w:rPr>
          <w:rFonts w:ascii="Source Sans Pro" w:hAnsi="Source Sans Pro"/>
          <w:sz w:val="22"/>
          <w:szCs w:val="22"/>
        </w:rPr>
        <w:t>arguments</w:t>
      </w:r>
      <w:r w:rsidR="002847B3">
        <w:rPr>
          <w:rFonts w:ascii="Source Sans Pro" w:hAnsi="Source Sans Pro"/>
          <w:sz w:val="22"/>
          <w:szCs w:val="22"/>
        </w:rPr>
        <w:t xml:space="preserve"> from objectors</w:t>
      </w:r>
      <w:r w:rsidR="5E9F4843" w:rsidRPr="249F436B">
        <w:rPr>
          <w:rFonts w:ascii="Source Sans Pro" w:hAnsi="Source Sans Pro"/>
          <w:sz w:val="22"/>
          <w:szCs w:val="22"/>
        </w:rPr>
        <w:t xml:space="preserve"> that approval </w:t>
      </w:r>
      <w:r w:rsidR="004F2E03">
        <w:rPr>
          <w:rFonts w:ascii="Source Sans Pro" w:hAnsi="Source Sans Pro"/>
          <w:sz w:val="22"/>
          <w:szCs w:val="22"/>
        </w:rPr>
        <w:t>of a coal</w:t>
      </w:r>
      <w:r w:rsidR="00A83E8F">
        <w:rPr>
          <w:rFonts w:ascii="Source Sans Pro" w:hAnsi="Source Sans Pro"/>
          <w:sz w:val="22"/>
          <w:szCs w:val="22"/>
        </w:rPr>
        <w:t xml:space="preserve"> mine</w:t>
      </w:r>
      <w:r w:rsidR="004F2E03">
        <w:rPr>
          <w:rFonts w:ascii="Source Sans Pro" w:hAnsi="Source Sans Pro"/>
          <w:sz w:val="22"/>
          <w:szCs w:val="22"/>
        </w:rPr>
        <w:t xml:space="preserve"> </w:t>
      </w:r>
      <w:r w:rsidR="5E9F4843" w:rsidRPr="249F436B">
        <w:rPr>
          <w:rFonts w:ascii="Source Sans Pro" w:hAnsi="Source Sans Pro"/>
          <w:sz w:val="22"/>
          <w:szCs w:val="22"/>
        </w:rPr>
        <w:t xml:space="preserve">would unjustifiably limit the human rights of people in Queensland. </w:t>
      </w:r>
    </w:p>
    <w:p w14:paraId="465DEBD8" w14:textId="77777777" w:rsidR="00CC2E3B" w:rsidRDefault="00CC2E3B" w:rsidP="00CA0099">
      <w:pPr>
        <w:rPr>
          <w:rFonts w:ascii="Source Sans Pro" w:hAnsi="Source Sans Pro"/>
          <w:sz w:val="22"/>
          <w:szCs w:val="22"/>
        </w:rPr>
      </w:pPr>
    </w:p>
    <w:p w14:paraId="1EFDE1C0" w14:textId="36157DCD" w:rsidR="00CC2E3B" w:rsidRPr="00CA0099" w:rsidRDefault="00CC2E3B" w:rsidP="00CA0099">
      <w:pPr>
        <w:rPr>
          <w:rFonts w:ascii="Source Sans Pro" w:hAnsi="Source Sans Pro"/>
          <w:sz w:val="22"/>
          <w:szCs w:val="22"/>
        </w:rPr>
      </w:pPr>
      <w:r>
        <w:rPr>
          <w:rFonts w:ascii="Source Sans Pro" w:hAnsi="Source Sans Pro"/>
          <w:sz w:val="22"/>
          <w:szCs w:val="22"/>
        </w:rPr>
        <w:t xml:space="preserve">Waratah </w:t>
      </w:r>
      <w:r w:rsidR="007A28A2">
        <w:rPr>
          <w:rFonts w:ascii="Source Sans Pro" w:hAnsi="Source Sans Pro"/>
          <w:sz w:val="22"/>
          <w:szCs w:val="22"/>
        </w:rPr>
        <w:t xml:space="preserve">unsuccessfully </w:t>
      </w:r>
      <w:r>
        <w:rPr>
          <w:rFonts w:ascii="Source Sans Pro" w:hAnsi="Source Sans Pro"/>
          <w:sz w:val="22"/>
          <w:szCs w:val="22"/>
        </w:rPr>
        <w:t>sough</w:t>
      </w:r>
      <w:r w:rsidR="007A28A2">
        <w:rPr>
          <w:rFonts w:ascii="Source Sans Pro" w:hAnsi="Source Sans Pro"/>
          <w:sz w:val="22"/>
          <w:szCs w:val="22"/>
        </w:rPr>
        <w:t>t</w:t>
      </w:r>
      <w:r>
        <w:rPr>
          <w:rFonts w:ascii="Source Sans Pro" w:hAnsi="Source Sans Pro"/>
          <w:sz w:val="22"/>
          <w:szCs w:val="22"/>
        </w:rPr>
        <w:t xml:space="preserve"> to strike out the human rights arguments</w:t>
      </w:r>
      <w:r w:rsidR="0052691E">
        <w:rPr>
          <w:rFonts w:ascii="Source Sans Pro" w:hAnsi="Source Sans Pro"/>
          <w:sz w:val="22"/>
          <w:szCs w:val="22"/>
        </w:rPr>
        <w:t xml:space="preserve"> early in the proceeding</w:t>
      </w:r>
      <w:r w:rsidR="007A28A2">
        <w:rPr>
          <w:rFonts w:ascii="Source Sans Pro" w:hAnsi="Source Sans Pro"/>
          <w:sz w:val="22"/>
          <w:szCs w:val="22"/>
        </w:rPr>
        <w:t>.</w:t>
      </w:r>
      <w:r w:rsidR="00FA7969">
        <w:rPr>
          <w:rStyle w:val="FootnoteReference"/>
          <w:rFonts w:ascii="Source Sans Pro" w:hAnsi="Source Sans Pro"/>
          <w:sz w:val="22"/>
          <w:szCs w:val="22"/>
        </w:rPr>
        <w:footnoteReference w:id="5"/>
      </w:r>
    </w:p>
    <w:p w14:paraId="6408FAE9" w14:textId="77777777" w:rsidR="00ED47B5" w:rsidRDefault="00ED47B5" w:rsidP="135E517B">
      <w:pPr>
        <w:rPr>
          <w:rFonts w:ascii="Source Sans Pro" w:hAnsi="Source Sans Pro"/>
          <w:sz w:val="22"/>
          <w:szCs w:val="22"/>
        </w:rPr>
      </w:pPr>
    </w:p>
    <w:p w14:paraId="19C7BF02" w14:textId="0D2FC8DC" w:rsidR="00F604BB" w:rsidRDefault="0015273E" w:rsidP="135E517B">
      <w:pPr>
        <w:rPr>
          <w:rFonts w:ascii="Source Sans Pro" w:hAnsi="Source Sans Pro"/>
          <w:sz w:val="22"/>
          <w:szCs w:val="22"/>
        </w:rPr>
      </w:pPr>
      <w:r>
        <w:rPr>
          <w:rFonts w:ascii="Source Sans Pro" w:hAnsi="Source Sans Pro"/>
          <w:sz w:val="22"/>
          <w:szCs w:val="22"/>
        </w:rPr>
        <w:t>T</w:t>
      </w:r>
      <w:r w:rsidR="00FF2018">
        <w:rPr>
          <w:rFonts w:ascii="Source Sans Pro" w:hAnsi="Source Sans Pro"/>
          <w:sz w:val="22"/>
          <w:szCs w:val="22"/>
        </w:rPr>
        <w:t xml:space="preserve">he </w:t>
      </w:r>
      <w:r w:rsidR="00705071">
        <w:rPr>
          <w:rFonts w:ascii="Source Sans Pro" w:hAnsi="Source Sans Pro"/>
          <w:sz w:val="22"/>
          <w:szCs w:val="22"/>
        </w:rPr>
        <w:t>C</w:t>
      </w:r>
      <w:r w:rsidR="00FF2018">
        <w:rPr>
          <w:rFonts w:ascii="Source Sans Pro" w:hAnsi="Source Sans Pro"/>
          <w:sz w:val="22"/>
          <w:szCs w:val="22"/>
        </w:rPr>
        <w:t xml:space="preserve">ourt heard </w:t>
      </w:r>
      <w:r w:rsidR="004918AD">
        <w:rPr>
          <w:rFonts w:ascii="Source Sans Pro" w:hAnsi="Source Sans Pro"/>
          <w:sz w:val="22"/>
          <w:szCs w:val="22"/>
        </w:rPr>
        <w:t xml:space="preserve">evidence from </w:t>
      </w:r>
      <w:r w:rsidR="007164F6">
        <w:rPr>
          <w:rFonts w:ascii="Source Sans Pro" w:hAnsi="Source Sans Pro"/>
          <w:sz w:val="22"/>
          <w:szCs w:val="22"/>
        </w:rPr>
        <w:t xml:space="preserve">over </w:t>
      </w:r>
      <w:r w:rsidR="0077246B">
        <w:rPr>
          <w:rFonts w:ascii="Source Sans Pro" w:hAnsi="Source Sans Pro"/>
          <w:sz w:val="22"/>
          <w:szCs w:val="22"/>
        </w:rPr>
        <w:t xml:space="preserve">twenty </w:t>
      </w:r>
      <w:r w:rsidR="004918AD">
        <w:rPr>
          <w:rFonts w:ascii="Source Sans Pro" w:hAnsi="Source Sans Pro"/>
          <w:sz w:val="22"/>
          <w:szCs w:val="22"/>
        </w:rPr>
        <w:t>expert witnesses,</w:t>
      </w:r>
      <w:r w:rsidR="00C25B18">
        <w:rPr>
          <w:rFonts w:ascii="Source Sans Pro" w:hAnsi="Source Sans Pro"/>
          <w:sz w:val="22"/>
          <w:szCs w:val="22"/>
        </w:rPr>
        <w:t xml:space="preserve"> </w:t>
      </w:r>
      <w:r w:rsidR="00513594">
        <w:rPr>
          <w:rFonts w:ascii="Source Sans Pro" w:hAnsi="Source Sans Pro"/>
          <w:sz w:val="22"/>
          <w:szCs w:val="22"/>
        </w:rPr>
        <w:t>six</w:t>
      </w:r>
      <w:r w:rsidR="004918AD">
        <w:rPr>
          <w:rFonts w:ascii="Source Sans Pro" w:hAnsi="Source Sans Pro"/>
          <w:sz w:val="22"/>
          <w:szCs w:val="22"/>
        </w:rPr>
        <w:t xml:space="preserve"> lay witnesses and </w:t>
      </w:r>
      <w:r w:rsidR="00C25B18">
        <w:rPr>
          <w:rFonts w:ascii="Source Sans Pro" w:hAnsi="Source Sans Pro"/>
          <w:sz w:val="22"/>
          <w:szCs w:val="22"/>
        </w:rPr>
        <w:t>five</w:t>
      </w:r>
      <w:r w:rsidR="00AD2152">
        <w:rPr>
          <w:rFonts w:ascii="Source Sans Pro" w:hAnsi="Source Sans Pro"/>
          <w:sz w:val="22"/>
          <w:szCs w:val="22"/>
        </w:rPr>
        <w:t xml:space="preserve"> </w:t>
      </w:r>
      <w:r w:rsidR="004918AD">
        <w:rPr>
          <w:rFonts w:ascii="Source Sans Pro" w:hAnsi="Source Sans Pro"/>
          <w:sz w:val="22"/>
          <w:szCs w:val="22"/>
        </w:rPr>
        <w:t xml:space="preserve">First Nations witnesses over </w:t>
      </w:r>
      <w:r w:rsidR="004A1104">
        <w:rPr>
          <w:rFonts w:ascii="Source Sans Pro" w:hAnsi="Source Sans Pro"/>
          <w:sz w:val="22"/>
          <w:szCs w:val="22"/>
        </w:rPr>
        <w:t xml:space="preserve">25 days in </w:t>
      </w:r>
      <w:r w:rsidR="008E4F5F">
        <w:rPr>
          <w:rFonts w:ascii="Source Sans Pro" w:hAnsi="Source Sans Pro"/>
          <w:sz w:val="22"/>
          <w:szCs w:val="22"/>
        </w:rPr>
        <w:t>April to July 2022</w:t>
      </w:r>
      <w:r w:rsidR="00C90109">
        <w:rPr>
          <w:rFonts w:ascii="Source Sans Pro" w:hAnsi="Source Sans Pro"/>
          <w:sz w:val="22"/>
          <w:szCs w:val="22"/>
        </w:rPr>
        <w:t>.  This included, in a historic first for</w:t>
      </w:r>
      <w:r w:rsidR="008357D4">
        <w:rPr>
          <w:rFonts w:ascii="Source Sans Pro" w:hAnsi="Source Sans Pro"/>
          <w:sz w:val="22"/>
          <w:szCs w:val="22"/>
        </w:rPr>
        <w:t xml:space="preserve"> a mining objection hearing, travelling to the </w:t>
      </w:r>
      <w:r w:rsidR="00A43D1F">
        <w:rPr>
          <w:rFonts w:ascii="Source Sans Pro" w:hAnsi="Source Sans Pro"/>
          <w:sz w:val="22"/>
          <w:szCs w:val="22"/>
        </w:rPr>
        <w:t>C</w:t>
      </w:r>
      <w:r w:rsidR="00680F6B">
        <w:rPr>
          <w:rFonts w:ascii="Source Sans Pro" w:hAnsi="Source Sans Pro"/>
          <w:sz w:val="22"/>
          <w:szCs w:val="22"/>
        </w:rPr>
        <w:t xml:space="preserve">ountries of First Nations witnesses to hear about the impacts </w:t>
      </w:r>
      <w:r w:rsidR="00DC22F2">
        <w:rPr>
          <w:rFonts w:ascii="Source Sans Pro" w:hAnsi="Source Sans Pro"/>
          <w:sz w:val="22"/>
          <w:szCs w:val="22"/>
        </w:rPr>
        <w:t xml:space="preserve">of climate change </w:t>
      </w:r>
      <w:r w:rsidR="00C50642">
        <w:rPr>
          <w:rFonts w:ascii="Source Sans Pro" w:hAnsi="Source Sans Pro"/>
          <w:sz w:val="22"/>
          <w:szCs w:val="22"/>
        </w:rPr>
        <w:t>firsthand</w:t>
      </w:r>
      <w:r w:rsidR="00680F6B">
        <w:rPr>
          <w:rFonts w:ascii="Source Sans Pro" w:hAnsi="Source Sans Pro"/>
          <w:sz w:val="22"/>
          <w:szCs w:val="22"/>
        </w:rPr>
        <w:t xml:space="preserve"> in a culturally respectful manner.</w:t>
      </w:r>
      <w:r w:rsidR="009B15AF">
        <w:rPr>
          <w:rStyle w:val="FootnoteReference"/>
          <w:rFonts w:ascii="Source Sans Pro" w:hAnsi="Source Sans Pro"/>
          <w:sz w:val="22"/>
          <w:szCs w:val="22"/>
        </w:rPr>
        <w:footnoteReference w:id="6"/>
      </w:r>
    </w:p>
    <w:p w14:paraId="2090EA89" w14:textId="77777777" w:rsidR="00C7797C" w:rsidRDefault="00C7797C" w:rsidP="135E517B">
      <w:pPr>
        <w:rPr>
          <w:rFonts w:ascii="Source Sans Pro" w:hAnsi="Source Sans Pro"/>
          <w:sz w:val="22"/>
          <w:szCs w:val="22"/>
        </w:rPr>
      </w:pPr>
    </w:p>
    <w:p w14:paraId="3133A670" w14:textId="37BD3BD7" w:rsidR="00E64B15" w:rsidRPr="00E64B15" w:rsidRDefault="00E64B15" w:rsidP="135E517B">
      <w:pPr>
        <w:rPr>
          <w:rStyle w:val="IntenseEmphasis"/>
          <w:sz w:val="28"/>
          <w:szCs w:val="28"/>
        </w:rPr>
      </w:pPr>
      <w:r w:rsidRPr="00E64B15">
        <w:rPr>
          <w:rStyle w:val="IntenseEmphasis"/>
          <w:sz w:val="28"/>
          <w:szCs w:val="28"/>
        </w:rPr>
        <w:t>The Decision</w:t>
      </w:r>
    </w:p>
    <w:p w14:paraId="546E1770" w14:textId="3B3EB86C" w:rsidR="00B4068A" w:rsidRDefault="00B4068A" w:rsidP="135E517B">
      <w:pPr>
        <w:rPr>
          <w:rFonts w:ascii="Source Sans Pro" w:hAnsi="Source Sans Pro"/>
          <w:sz w:val="22"/>
          <w:szCs w:val="22"/>
        </w:rPr>
      </w:pPr>
      <w:r>
        <w:rPr>
          <w:rFonts w:ascii="Source Sans Pro" w:hAnsi="Source Sans Pro"/>
          <w:sz w:val="22"/>
          <w:szCs w:val="22"/>
        </w:rPr>
        <w:t xml:space="preserve">After weighing </w:t>
      </w:r>
      <w:r w:rsidR="00A43D1F">
        <w:rPr>
          <w:rFonts w:ascii="Source Sans Pro" w:hAnsi="Source Sans Pro"/>
          <w:sz w:val="22"/>
          <w:szCs w:val="22"/>
        </w:rPr>
        <w:t xml:space="preserve">all </w:t>
      </w:r>
      <w:r>
        <w:rPr>
          <w:rFonts w:ascii="Source Sans Pro" w:hAnsi="Source Sans Pro"/>
          <w:sz w:val="22"/>
          <w:szCs w:val="22"/>
        </w:rPr>
        <w:t>the evidence</w:t>
      </w:r>
      <w:r w:rsidR="009812A9">
        <w:rPr>
          <w:rFonts w:ascii="Source Sans Pro" w:hAnsi="Source Sans Pro"/>
          <w:sz w:val="22"/>
          <w:szCs w:val="22"/>
        </w:rPr>
        <w:t>, including economic and social benefits,</w:t>
      </w:r>
      <w:r w:rsidR="00D10526">
        <w:rPr>
          <w:rStyle w:val="FootnoteReference"/>
          <w:rFonts w:ascii="Source Sans Pro" w:hAnsi="Source Sans Pro"/>
          <w:sz w:val="22"/>
          <w:szCs w:val="22"/>
        </w:rPr>
        <w:footnoteReference w:id="7"/>
      </w:r>
      <w:r>
        <w:rPr>
          <w:rFonts w:ascii="Source Sans Pro" w:hAnsi="Source Sans Pro"/>
          <w:sz w:val="22"/>
          <w:szCs w:val="22"/>
        </w:rPr>
        <w:t xml:space="preserve"> and considering each human right</w:t>
      </w:r>
      <w:r w:rsidR="009812A9">
        <w:rPr>
          <w:rFonts w:ascii="Source Sans Pro" w:hAnsi="Source Sans Pro"/>
          <w:sz w:val="22"/>
          <w:szCs w:val="22"/>
        </w:rPr>
        <w:t>,</w:t>
      </w:r>
      <w:r>
        <w:rPr>
          <w:rFonts w:ascii="Source Sans Pro" w:hAnsi="Source Sans Pro"/>
          <w:sz w:val="22"/>
          <w:szCs w:val="22"/>
        </w:rPr>
        <w:t xml:space="preserve"> the Court found that:</w:t>
      </w:r>
      <w:r w:rsidR="00051D9B">
        <w:rPr>
          <w:rStyle w:val="FootnoteReference"/>
          <w:rFonts w:ascii="Source Sans Pro" w:hAnsi="Source Sans Pro"/>
          <w:sz w:val="22"/>
          <w:szCs w:val="22"/>
        </w:rPr>
        <w:footnoteReference w:id="8"/>
      </w:r>
    </w:p>
    <w:p w14:paraId="586FA4AA" w14:textId="77777777" w:rsidR="00051D9B" w:rsidRPr="00F61D06" w:rsidRDefault="00051D9B" w:rsidP="00F61D06">
      <w:pPr>
        <w:pStyle w:val="Default"/>
        <w:ind w:left="720"/>
        <w:rPr>
          <w:rFonts w:asciiTheme="minorHAnsi" w:hAnsiTheme="minorHAnsi" w:cstheme="minorHAnsi"/>
          <w:sz w:val="20"/>
          <w:szCs w:val="20"/>
        </w:rPr>
      </w:pPr>
      <w:r w:rsidRPr="00F61D06">
        <w:rPr>
          <w:rFonts w:asciiTheme="minorHAnsi" w:hAnsiTheme="minorHAnsi" w:cstheme="minorHAnsi"/>
          <w:sz w:val="20"/>
          <w:szCs w:val="20"/>
        </w:rPr>
        <w:t xml:space="preserve">Weighing the benefits of the Project against the loss of Bimblebox alone, with or without my findings on the limits to relevant human rights, I would say the public interest does not favour the Project. </w:t>
      </w:r>
    </w:p>
    <w:p w14:paraId="4E0CEEF0" w14:textId="3369332A" w:rsidR="00051D9B" w:rsidRPr="00F61D06" w:rsidRDefault="00051D9B" w:rsidP="00F61D06">
      <w:pPr>
        <w:pStyle w:val="Default"/>
        <w:ind w:left="720"/>
        <w:rPr>
          <w:rFonts w:asciiTheme="minorHAnsi" w:hAnsiTheme="minorHAnsi" w:cstheme="minorHAnsi"/>
          <w:sz w:val="20"/>
          <w:szCs w:val="20"/>
        </w:rPr>
      </w:pPr>
      <w:r w:rsidRPr="00F61D06">
        <w:rPr>
          <w:rFonts w:asciiTheme="minorHAnsi" w:hAnsiTheme="minorHAnsi" w:cstheme="minorHAnsi"/>
          <w:sz w:val="20"/>
          <w:szCs w:val="20"/>
        </w:rPr>
        <w:t xml:space="preserve">Weighing the benefits of the Project against the climate change implications of combustion of the coal alone, with or without my findings on the limits to relevant human rights, I would say the public interest does not favour the Project. </w:t>
      </w:r>
    </w:p>
    <w:p w14:paraId="07785858" w14:textId="23358148" w:rsidR="007E7759" w:rsidRPr="00F61D06" w:rsidRDefault="00051D9B" w:rsidP="00F61D06">
      <w:pPr>
        <w:ind w:left="720"/>
        <w:rPr>
          <w:rFonts w:cstheme="minorHAnsi"/>
          <w:sz w:val="20"/>
          <w:szCs w:val="20"/>
        </w:rPr>
      </w:pPr>
      <w:r w:rsidRPr="00F61D06">
        <w:rPr>
          <w:rFonts w:cstheme="minorHAnsi"/>
          <w:sz w:val="20"/>
          <w:szCs w:val="20"/>
        </w:rPr>
        <w:t>Weighing all those factors in the balance, the Project would prejudice the public right or interest.</w:t>
      </w:r>
    </w:p>
    <w:p w14:paraId="274B1181" w14:textId="77777777" w:rsidR="007E7759" w:rsidRDefault="007E7759" w:rsidP="00C17001">
      <w:pPr>
        <w:rPr>
          <w:rFonts w:ascii="Source Sans Pro" w:hAnsi="Source Sans Pro"/>
          <w:sz w:val="22"/>
          <w:szCs w:val="22"/>
        </w:rPr>
      </w:pPr>
    </w:p>
    <w:p w14:paraId="12EE89C8" w14:textId="1E2700B9" w:rsidR="00C17001" w:rsidRDefault="00587A4A" w:rsidP="00C17001">
      <w:pPr>
        <w:rPr>
          <w:rFonts w:ascii="Source Sans Pro" w:hAnsi="Source Sans Pro"/>
          <w:sz w:val="22"/>
          <w:szCs w:val="22"/>
        </w:rPr>
      </w:pPr>
      <w:r>
        <w:rPr>
          <w:rFonts w:ascii="Source Sans Pro" w:hAnsi="Source Sans Pro"/>
          <w:sz w:val="22"/>
          <w:szCs w:val="22"/>
        </w:rPr>
        <w:t>Accordingly</w:t>
      </w:r>
      <w:r w:rsidR="00F92B55">
        <w:rPr>
          <w:rFonts w:ascii="Source Sans Pro" w:hAnsi="Source Sans Pro"/>
          <w:sz w:val="22"/>
          <w:szCs w:val="22"/>
        </w:rPr>
        <w:t>,</w:t>
      </w:r>
      <w:r>
        <w:rPr>
          <w:rFonts w:ascii="Source Sans Pro" w:hAnsi="Source Sans Pro"/>
          <w:sz w:val="22"/>
          <w:szCs w:val="22"/>
        </w:rPr>
        <w:t xml:space="preserve"> the Court found that, considering all the statutory criteria and human rights, the </w:t>
      </w:r>
      <w:r w:rsidR="00371C2A">
        <w:rPr>
          <w:rFonts w:ascii="Source Sans Pro" w:hAnsi="Source Sans Pro"/>
          <w:sz w:val="22"/>
          <w:szCs w:val="22"/>
        </w:rPr>
        <w:t>applications for the Project should be refused.</w:t>
      </w:r>
    </w:p>
    <w:p w14:paraId="5C5648BE" w14:textId="77777777" w:rsidR="00CE0629" w:rsidRDefault="00CE0629" w:rsidP="00C17001">
      <w:pPr>
        <w:rPr>
          <w:rFonts w:ascii="Source Sans Pro" w:hAnsi="Source Sans Pro"/>
          <w:sz w:val="22"/>
          <w:szCs w:val="22"/>
        </w:rPr>
      </w:pPr>
    </w:p>
    <w:p w14:paraId="07D88FBA" w14:textId="20F76E03" w:rsidR="00CE0629" w:rsidRDefault="00CB33FF" w:rsidP="00C17001">
      <w:pPr>
        <w:rPr>
          <w:rFonts w:ascii="Source Sans Pro" w:hAnsi="Source Sans Pro"/>
          <w:sz w:val="22"/>
          <w:szCs w:val="22"/>
        </w:rPr>
      </w:pPr>
      <w:r>
        <w:rPr>
          <w:rFonts w:ascii="Source Sans Pro" w:hAnsi="Source Sans Pro"/>
          <w:sz w:val="22"/>
          <w:szCs w:val="22"/>
        </w:rPr>
        <w:t>The final decisions rest with the Minister for Mines</w:t>
      </w:r>
      <w:r w:rsidR="003B3342">
        <w:rPr>
          <w:rFonts w:ascii="Source Sans Pro" w:hAnsi="Source Sans Pro"/>
          <w:sz w:val="22"/>
          <w:szCs w:val="22"/>
        </w:rPr>
        <w:t>,</w:t>
      </w:r>
      <w:r>
        <w:rPr>
          <w:rFonts w:ascii="Source Sans Pro" w:hAnsi="Source Sans Pro"/>
          <w:sz w:val="22"/>
          <w:szCs w:val="22"/>
        </w:rPr>
        <w:t xml:space="preserve"> in respect of the ML</w:t>
      </w:r>
      <w:r w:rsidR="003B3342">
        <w:rPr>
          <w:rFonts w:ascii="Source Sans Pro" w:hAnsi="Source Sans Pro"/>
          <w:sz w:val="22"/>
          <w:szCs w:val="22"/>
        </w:rPr>
        <w:t>,</w:t>
      </w:r>
      <w:r>
        <w:rPr>
          <w:rFonts w:ascii="Source Sans Pro" w:hAnsi="Source Sans Pro"/>
          <w:sz w:val="22"/>
          <w:szCs w:val="22"/>
        </w:rPr>
        <w:t xml:space="preserve"> and the Department of Environment and Science</w:t>
      </w:r>
      <w:r w:rsidR="003B3342">
        <w:rPr>
          <w:rFonts w:ascii="Source Sans Pro" w:hAnsi="Source Sans Pro"/>
          <w:sz w:val="22"/>
          <w:szCs w:val="22"/>
        </w:rPr>
        <w:t>,</w:t>
      </w:r>
      <w:r>
        <w:rPr>
          <w:rFonts w:ascii="Source Sans Pro" w:hAnsi="Source Sans Pro"/>
          <w:sz w:val="22"/>
          <w:szCs w:val="22"/>
        </w:rPr>
        <w:t xml:space="preserve"> in respect of the EA</w:t>
      </w:r>
      <w:r w:rsidR="00FE1C16">
        <w:rPr>
          <w:rFonts w:ascii="Source Sans Pro" w:hAnsi="Source Sans Pro"/>
          <w:sz w:val="22"/>
          <w:szCs w:val="22"/>
        </w:rPr>
        <w:t>.   The Department of Environment and Science is time limited under the EP Act whereas the Min</w:t>
      </w:r>
      <w:r w:rsidR="00691788">
        <w:rPr>
          <w:rFonts w:ascii="Source Sans Pro" w:hAnsi="Source Sans Pro"/>
          <w:sz w:val="22"/>
          <w:szCs w:val="22"/>
        </w:rPr>
        <w:t>es</w:t>
      </w:r>
      <w:r w:rsidR="00FE1C16">
        <w:rPr>
          <w:rFonts w:ascii="Source Sans Pro" w:hAnsi="Source Sans Pro"/>
          <w:sz w:val="22"/>
          <w:szCs w:val="22"/>
        </w:rPr>
        <w:t xml:space="preserve"> Minister is not</w:t>
      </w:r>
      <w:r w:rsidR="00125866">
        <w:rPr>
          <w:rFonts w:ascii="Source Sans Pro" w:hAnsi="Source Sans Pro"/>
          <w:sz w:val="22"/>
          <w:szCs w:val="22"/>
        </w:rPr>
        <w:t xml:space="preserve">, so usually the EA decision </w:t>
      </w:r>
      <w:r w:rsidR="002240D0">
        <w:rPr>
          <w:rFonts w:ascii="Source Sans Pro" w:hAnsi="Source Sans Pro"/>
          <w:sz w:val="22"/>
          <w:szCs w:val="22"/>
        </w:rPr>
        <w:t>precedes</w:t>
      </w:r>
      <w:r w:rsidR="00125866">
        <w:rPr>
          <w:rFonts w:ascii="Source Sans Pro" w:hAnsi="Source Sans Pro"/>
          <w:sz w:val="22"/>
          <w:szCs w:val="22"/>
        </w:rPr>
        <w:t xml:space="preserve"> the ML </w:t>
      </w:r>
      <w:r w:rsidR="005624B6">
        <w:rPr>
          <w:rFonts w:ascii="Source Sans Pro" w:hAnsi="Source Sans Pro"/>
          <w:sz w:val="22"/>
          <w:szCs w:val="22"/>
        </w:rPr>
        <w:t>decision.  While the government is not bound to follow the Land Court recommendation</w:t>
      </w:r>
      <w:r w:rsidR="00F46A16">
        <w:rPr>
          <w:rFonts w:ascii="Source Sans Pro" w:hAnsi="Source Sans Pro"/>
          <w:sz w:val="22"/>
          <w:szCs w:val="22"/>
        </w:rPr>
        <w:t xml:space="preserve">s, it usually does.  </w:t>
      </w:r>
    </w:p>
    <w:p w14:paraId="195787DB" w14:textId="77777777" w:rsidR="002B58EB" w:rsidRDefault="002B58EB" w:rsidP="00C17001">
      <w:pPr>
        <w:rPr>
          <w:rFonts w:ascii="Source Sans Pro" w:hAnsi="Source Sans Pro"/>
          <w:sz w:val="22"/>
          <w:szCs w:val="22"/>
        </w:rPr>
      </w:pPr>
    </w:p>
    <w:p w14:paraId="7B771DE5" w14:textId="0DF709F3" w:rsidR="002B58EB" w:rsidRDefault="002B58EB" w:rsidP="00C17001">
      <w:pPr>
        <w:rPr>
          <w:rFonts w:ascii="Source Sans Pro" w:hAnsi="Source Sans Pro"/>
          <w:sz w:val="22"/>
          <w:szCs w:val="22"/>
        </w:rPr>
      </w:pPr>
      <w:r>
        <w:rPr>
          <w:rFonts w:ascii="Source Sans Pro" w:hAnsi="Source Sans Pro"/>
          <w:sz w:val="22"/>
          <w:szCs w:val="22"/>
        </w:rPr>
        <w:t xml:space="preserve">Waratah has applied to the Supreme Court for a statutory order of review on the Land Court’s decision </w:t>
      </w:r>
      <w:r w:rsidR="00DF637C">
        <w:rPr>
          <w:rFonts w:ascii="Source Sans Pro" w:hAnsi="Source Sans Pro"/>
          <w:sz w:val="22"/>
          <w:szCs w:val="22"/>
        </w:rPr>
        <w:t>alleging</w:t>
      </w:r>
      <w:r>
        <w:rPr>
          <w:rFonts w:ascii="Source Sans Pro" w:hAnsi="Source Sans Pro"/>
          <w:sz w:val="22"/>
          <w:szCs w:val="22"/>
        </w:rPr>
        <w:t xml:space="preserve"> errors of law.  </w:t>
      </w:r>
      <w:r w:rsidR="004C34CC">
        <w:rPr>
          <w:rFonts w:ascii="Source Sans Pro" w:hAnsi="Source Sans Pro"/>
          <w:sz w:val="22"/>
          <w:szCs w:val="22"/>
        </w:rPr>
        <w:t>The government is not bound to wait for the Supreme Court review decision before making final decisions on the EA and ML applications,</w:t>
      </w:r>
      <w:r w:rsidR="00593FD1">
        <w:rPr>
          <w:rFonts w:ascii="Source Sans Pro" w:hAnsi="Source Sans Pro"/>
          <w:sz w:val="22"/>
          <w:szCs w:val="22"/>
        </w:rPr>
        <w:t xml:space="preserve"> but sometime</w:t>
      </w:r>
      <w:r w:rsidR="00EB790E">
        <w:rPr>
          <w:rFonts w:ascii="Source Sans Pro" w:hAnsi="Source Sans Pro"/>
          <w:sz w:val="22"/>
          <w:szCs w:val="22"/>
        </w:rPr>
        <w:t>s</w:t>
      </w:r>
      <w:r w:rsidR="00593FD1">
        <w:rPr>
          <w:rFonts w:ascii="Source Sans Pro" w:hAnsi="Source Sans Pro"/>
          <w:sz w:val="22"/>
          <w:szCs w:val="22"/>
        </w:rPr>
        <w:t xml:space="preserve"> it does wait for </w:t>
      </w:r>
      <w:r w:rsidR="003B1E56">
        <w:rPr>
          <w:rFonts w:ascii="Source Sans Pro" w:hAnsi="Source Sans Pro"/>
          <w:sz w:val="22"/>
          <w:szCs w:val="22"/>
        </w:rPr>
        <w:t>the court processes</w:t>
      </w:r>
      <w:r w:rsidR="00593FD1">
        <w:rPr>
          <w:rFonts w:ascii="Source Sans Pro" w:hAnsi="Source Sans Pro"/>
          <w:sz w:val="22"/>
          <w:szCs w:val="22"/>
        </w:rPr>
        <w:t xml:space="preserve"> to be resolved before making final determinations.</w:t>
      </w:r>
    </w:p>
    <w:p w14:paraId="4E47B1CB" w14:textId="77777777" w:rsidR="00371C2A" w:rsidRDefault="00371C2A" w:rsidP="00C17001">
      <w:pPr>
        <w:rPr>
          <w:rFonts w:ascii="Source Sans Pro" w:hAnsi="Source Sans Pro"/>
          <w:sz w:val="22"/>
          <w:szCs w:val="22"/>
        </w:rPr>
      </w:pPr>
    </w:p>
    <w:p w14:paraId="1CE212E4" w14:textId="77777777" w:rsidR="00707474" w:rsidRPr="001E3931" w:rsidRDefault="00707474" w:rsidP="00707474">
      <w:pPr>
        <w:rPr>
          <w:rStyle w:val="IntenseEmphasis"/>
          <w:sz w:val="28"/>
          <w:szCs w:val="28"/>
        </w:rPr>
      </w:pPr>
      <w:r w:rsidRPr="001E3931">
        <w:rPr>
          <w:rStyle w:val="IntenseEmphasis"/>
          <w:sz w:val="28"/>
          <w:szCs w:val="28"/>
        </w:rPr>
        <w:t>Weighing factors in the balance</w:t>
      </w:r>
    </w:p>
    <w:p w14:paraId="7427DB22" w14:textId="3F367C92" w:rsidR="00707474" w:rsidRDefault="00707474" w:rsidP="00707474">
      <w:pPr>
        <w:pStyle w:val="ListBullet"/>
      </w:pPr>
      <w:r>
        <w:rPr>
          <w:sz w:val="23"/>
          <w:szCs w:val="23"/>
        </w:rPr>
        <w:t xml:space="preserve">The decision is primarily a weighing of factors for and against the </w:t>
      </w:r>
      <w:r w:rsidR="004B05A2">
        <w:rPr>
          <w:sz w:val="23"/>
          <w:szCs w:val="23"/>
        </w:rPr>
        <w:t>proposal</w:t>
      </w:r>
      <w:r>
        <w:rPr>
          <w:sz w:val="23"/>
          <w:szCs w:val="23"/>
        </w:rPr>
        <w:t xml:space="preserve"> to determine where the balance lies.  </w:t>
      </w:r>
      <w:r>
        <w:t>President Kingham found that benefits of the Project to strengthen and diversify the regional economy</w:t>
      </w:r>
      <w:r>
        <w:rPr>
          <w:rStyle w:val="FootnoteReference"/>
        </w:rPr>
        <w:footnoteReference w:id="9"/>
      </w:r>
      <w:r>
        <w:t xml:space="preserve"> weighed in favour of approval and the following factors weighed against approval:</w:t>
      </w:r>
    </w:p>
    <w:p w14:paraId="380E998B" w14:textId="64DE9CBC" w:rsidR="00707474" w:rsidRDefault="00707474" w:rsidP="00707474">
      <w:pPr>
        <w:pStyle w:val="ListBullet"/>
        <w:numPr>
          <w:ilvl w:val="0"/>
          <w:numId w:val="29"/>
        </w:numPr>
      </w:pPr>
      <w:r>
        <w:t xml:space="preserve">Waratah had not satisfied the Court </w:t>
      </w:r>
      <w:r w:rsidR="00FF1767">
        <w:t>as to</w:t>
      </w:r>
      <w:r>
        <w:t xml:space="preserve"> the extent of impacts on the Bimblebox Nature Refuge and whether those impacts could be offset.</w:t>
      </w:r>
      <w:r>
        <w:rPr>
          <w:rStyle w:val="FootnoteReference"/>
        </w:rPr>
        <w:footnoteReference w:id="10"/>
      </w:r>
    </w:p>
    <w:p w14:paraId="0AEF31A2" w14:textId="77777777" w:rsidR="007E352A" w:rsidRDefault="007E352A" w:rsidP="007E352A">
      <w:pPr>
        <w:pStyle w:val="ListBullet"/>
        <w:numPr>
          <w:ilvl w:val="0"/>
          <w:numId w:val="29"/>
        </w:numPr>
      </w:pPr>
      <w:r>
        <w:t>There was insufficient evidence on the appropriate noise and vibration levels to protect the health and biodiversity of the Bimblebox ecosystem.</w:t>
      </w:r>
      <w:r w:rsidRPr="00641C75">
        <w:rPr>
          <w:vertAlign w:val="superscript"/>
        </w:rPr>
        <w:footnoteReference w:id="11"/>
      </w:r>
    </w:p>
    <w:p w14:paraId="1A5CDED5" w14:textId="77777777" w:rsidR="007E352A" w:rsidRDefault="007E352A" w:rsidP="007E352A">
      <w:pPr>
        <w:pStyle w:val="ListBullet"/>
        <w:numPr>
          <w:ilvl w:val="0"/>
          <w:numId w:val="29"/>
        </w:numPr>
      </w:pPr>
      <w:r>
        <w:t>The subsidence from underground mining would likely tilt the land against the current natural flow of surface water.</w:t>
      </w:r>
      <w:r w:rsidRPr="00641C75">
        <w:rPr>
          <w:vertAlign w:val="superscript"/>
        </w:rPr>
        <w:footnoteReference w:id="12"/>
      </w:r>
    </w:p>
    <w:p w14:paraId="7DF3D483" w14:textId="7FD2FE43" w:rsidR="00886572" w:rsidRDefault="00886572" w:rsidP="00886572">
      <w:pPr>
        <w:pStyle w:val="ListBullet"/>
        <w:numPr>
          <w:ilvl w:val="0"/>
          <w:numId w:val="29"/>
        </w:numPr>
      </w:pPr>
      <w:r>
        <w:t>Th</w:t>
      </w:r>
      <w:r w:rsidR="00067FB2">
        <w:t>ere was a</w:t>
      </w:r>
      <w:r>
        <w:t xml:space="preserve"> level of uncertainty about the degree and extent of subsidence on Bimblebox.</w:t>
      </w:r>
      <w:r w:rsidRPr="00641C75">
        <w:rPr>
          <w:vertAlign w:val="superscript"/>
        </w:rPr>
        <w:footnoteReference w:id="13"/>
      </w:r>
    </w:p>
    <w:p w14:paraId="388617C5" w14:textId="60477FFC" w:rsidR="00174429" w:rsidRDefault="009F4021" w:rsidP="00707474">
      <w:pPr>
        <w:pStyle w:val="ListBullet"/>
        <w:numPr>
          <w:ilvl w:val="0"/>
          <w:numId w:val="29"/>
        </w:numPr>
      </w:pPr>
      <w:r w:rsidRPr="00271F02">
        <w:t xml:space="preserve">The risk of the loss of Bimblebox as a nature refuge </w:t>
      </w:r>
      <w:r w:rsidR="00432569">
        <w:t>wa</w:t>
      </w:r>
      <w:r w:rsidRPr="00271F02">
        <w:t>s both real and likely if the mine proceed</w:t>
      </w:r>
      <w:r w:rsidR="00432569">
        <w:t>ed</w:t>
      </w:r>
      <w:r w:rsidRPr="00271F02">
        <w:t>.</w:t>
      </w:r>
      <w:r>
        <w:rPr>
          <w:rStyle w:val="FootnoteReference"/>
          <w:sz w:val="23"/>
          <w:szCs w:val="23"/>
        </w:rPr>
        <w:footnoteReference w:id="14"/>
      </w:r>
    </w:p>
    <w:p w14:paraId="470BC336" w14:textId="05640012" w:rsidR="009373CE" w:rsidRDefault="00DE550A" w:rsidP="00707474">
      <w:pPr>
        <w:pStyle w:val="ListBullet"/>
        <w:numPr>
          <w:ilvl w:val="0"/>
          <w:numId w:val="29"/>
        </w:numPr>
      </w:pPr>
      <w:r>
        <w:t xml:space="preserve">The Project </w:t>
      </w:r>
      <w:r w:rsidR="00334D6C">
        <w:t xml:space="preserve">would have made </w:t>
      </w:r>
      <w:r>
        <w:t>a material contribution</w:t>
      </w:r>
      <w:r w:rsidR="00B412CF">
        <w:t xml:space="preserve"> to climate change, narrowing the options for </w:t>
      </w:r>
      <w:r w:rsidR="000B6B7B">
        <w:t>achieving the Paris Agreement goals.</w:t>
      </w:r>
      <w:r w:rsidR="000B6B7B">
        <w:rPr>
          <w:rStyle w:val="FootnoteReference"/>
        </w:rPr>
        <w:footnoteReference w:id="15"/>
      </w:r>
    </w:p>
    <w:p w14:paraId="13CA7BF7" w14:textId="699CFFBC" w:rsidR="00707474" w:rsidRDefault="00707474" w:rsidP="00707474">
      <w:pPr>
        <w:pStyle w:val="ListBullet"/>
        <w:numPr>
          <w:ilvl w:val="0"/>
          <w:numId w:val="29"/>
        </w:numPr>
      </w:pPr>
      <w:r>
        <w:t>The resulting limitations of human rights (</w:t>
      </w:r>
      <w:proofErr w:type="gramStart"/>
      <w:r>
        <w:t>i.e.</w:t>
      </w:r>
      <w:proofErr w:type="gramEnd"/>
      <w:r>
        <w:t xml:space="preserve"> the right to life, cultural rights, rights of children, rights to property and privacy and home, and right to equality before the law) could not be justified in a fair and democratic society.</w:t>
      </w:r>
      <w:r>
        <w:rPr>
          <w:rStyle w:val="FootnoteReference"/>
        </w:rPr>
        <w:footnoteReference w:id="16"/>
      </w:r>
      <w:r>
        <w:t xml:space="preserve"> </w:t>
      </w:r>
    </w:p>
    <w:p w14:paraId="5A02684E" w14:textId="77777777" w:rsidR="00707474" w:rsidRDefault="00707474" w:rsidP="00707474">
      <w:pPr>
        <w:pStyle w:val="ListBullet"/>
        <w:numPr>
          <w:ilvl w:val="0"/>
          <w:numId w:val="29"/>
        </w:numPr>
      </w:pPr>
      <w:r>
        <w:rPr>
          <w:sz w:val="23"/>
          <w:szCs w:val="23"/>
        </w:rPr>
        <w:t>The best interests of children and future generations are not served by actions that narrow the options for achieving the Paris Agreement temperature goal.</w:t>
      </w:r>
      <w:r>
        <w:rPr>
          <w:rStyle w:val="FootnoteReference"/>
          <w:sz w:val="23"/>
          <w:szCs w:val="23"/>
        </w:rPr>
        <w:footnoteReference w:id="17"/>
      </w:r>
    </w:p>
    <w:p w14:paraId="29684D4E" w14:textId="77777777" w:rsidR="00707474" w:rsidRDefault="00707474" w:rsidP="00707474">
      <w:pPr>
        <w:pStyle w:val="ListBullet"/>
        <w:tabs>
          <w:tab w:val="num" w:pos="720"/>
        </w:tabs>
        <w:ind w:left="720"/>
      </w:pPr>
    </w:p>
    <w:p w14:paraId="216A826E" w14:textId="77777777" w:rsidR="00707474" w:rsidRDefault="00707474" w:rsidP="00707474">
      <w:pPr>
        <w:rPr>
          <w:rFonts w:ascii="Source Sans Pro" w:hAnsi="Source Sans Pro"/>
          <w:sz w:val="22"/>
          <w:szCs w:val="22"/>
        </w:rPr>
      </w:pPr>
      <w:r>
        <w:rPr>
          <w:rFonts w:ascii="Source Sans Pro" w:hAnsi="Source Sans Pro"/>
          <w:sz w:val="22"/>
          <w:szCs w:val="22"/>
        </w:rPr>
        <w:t>After weighing up all the relevant factors the court found that the economic and social benefits of the project did not outweigh the ecological and climate change impacts of the project</w:t>
      </w:r>
      <w:r>
        <w:rPr>
          <w:rStyle w:val="FootnoteReference"/>
          <w:rFonts w:ascii="Source Sans Pro" w:hAnsi="Source Sans Pro"/>
          <w:sz w:val="22"/>
          <w:szCs w:val="22"/>
        </w:rPr>
        <w:footnoteReference w:id="18"/>
      </w:r>
      <w:r>
        <w:rPr>
          <w:rFonts w:ascii="Source Sans Pro" w:hAnsi="Source Sans Pro"/>
          <w:sz w:val="22"/>
          <w:szCs w:val="22"/>
        </w:rPr>
        <w:t>and it was not in the public interest to grant the approvals.</w:t>
      </w:r>
      <w:r>
        <w:rPr>
          <w:rStyle w:val="FootnoteReference"/>
          <w:rFonts w:ascii="Source Sans Pro" w:hAnsi="Source Sans Pro"/>
          <w:sz w:val="22"/>
          <w:szCs w:val="22"/>
        </w:rPr>
        <w:footnoteReference w:id="19"/>
      </w:r>
      <w:r>
        <w:rPr>
          <w:rFonts w:ascii="Source Sans Pro" w:hAnsi="Source Sans Pro"/>
          <w:sz w:val="22"/>
          <w:szCs w:val="22"/>
        </w:rPr>
        <w:t xml:space="preserve">  The Court also considered that for each human right, considered individually, the importance of preserving that right weighed more heavily that the economic and social benefits of the mine.</w:t>
      </w:r>
      <w:r>
        <w:rPr>
          <w:rStyle w:val="FootnoteReference"/>
          <w:rFonts w:ascii="Source Sans Pro" w:hAnsi="Source Sans Pro"/>
          <w:sz w:val="22"/>
          <w:szCs w:val="22"/>
        </w:rPr>
        <w:footnoteReference w:id="20"/>
      </w:r>
      <w:r w:rsidRPr="001D224C">
        <w:rPr>
          <w:rFonts w:ascii="Source Sans Pro" w:hAnsi="Source Sans Pro"/>
          <w:sz w:val="22"/>
          <w:szCs w:val="22"/>
        </w:rPr>
        <w:t xml:space="preserve"> </w:t>
      </w:r>
      <w:r>
        <w:rPr>
          <w:sz w:val="23"/>
          <w:szCs w:val="23"/>
        </w:rPr>
        <w:t>Additional factors for the rights of First Nations peoples, such as the existential threat from seal level rise to the Torres Strait Island peoples, weighed the scale more firmly in favour of the importance of preserving cultural rights.</w:t>
      </w:r>
      <w:r>
        <w:rPr>
          <w:rStyle w:val="FootnoteReference"/>
          <w:sz w:val="23"/>
          <w:szCs w:val="23"/>
        </w:rPr>
        <w:footnoteReference w:id="21"/>
      </w:r>
      <w:r>
        <w:rPr>
          <w:sz w:val="23"/>
          <w:szCs w:val="23"/>
        </w:rPr>
        <w:t xml:space="preserve"> </w:t>
      </w:r>
      <w:r>
        <w:rPr>
          <w:rFonts w:ascii="Source Sans Pro" w:hAnsi="Source Sans Pro"/>
          <w:sz w:val="22"/>
          <w:szCs w:val="22"/>
        </w:rPr>
        <w:t>Accordingly the</w:t>
      </w:r>
      <w:r w:rsidRPr="249F436B">
        <w:rPr>
          <w:rFonts w:ascii="Source Sans Pro" w:hAnsi="Source Sans Pro"/>
          <w:sz w:val="22"/>
          <w:szCs w:val="22"/>
        </w:rPr>
        <w:t xml:space="preserve"> </w:t>
      </w:r>
      <w:r>
        <w:rPr>
          <w:rFonts w:ascii="Source Sans Pro" w:hAnsi="Source Sans Pro"/>
          <w:sz w:val="22"/>
          <w:szCs w:val="22"/>
        </w:rPr>
        <w:t>Court</w:t>
      </w:r>
      <w:r w:rsidRPr="249F436B">
        <w:rPr>
          <w:rFonts w:ascii="Source Sans Pro" w:hAnsi="Source Sans Pro"/>
          <w:sz w:val="22"/>
          <w:szCs w:val="22"/>
        </w:rPr>
        <w:t xml:space="preserve"> recommended to the final decision makers that the applications for both the ML and the EA be refused on each basis.</w:t>
      </w:r>
    </w:p>
    <w:p w14:paraId="553F1A7F" w14:textId="77777777" w:rsidR="00707474" w:rsidRDefault="00707474" w:rsidP="00D747CB">
      <w:pPr>
        <w:keepNext/>
        <w:rPr>
          <w:rStyle w:val="IntenseEmphasis"/>
          <w:sz w:val="28"/>
          <w:szCs w:val="28"/>
        </w:rPr>
      </w:pPr>
    </w:p>
    <w:p w14:paraId="1F8DC598" w14:textId="77777777" w:rsidR="00707474" w:rsidRDefault="00707474" w:rsidP="00D747CB">
      <w:pPr>
        <w:keepNext/>
        <w:rPr>
          <w:rStyle w:val="IntenseEmphasis"/>
          <w:sz w:val="28"/>
          <w:szCs w:val="28"/>
        </w:rPr>
      </w:pPr>
    </w:p>
    <w:p w14:paraId="13EA620E" w14:textId="70E86C40" w:rsidR="00E64B15" w:rsidRPr="00E64B15" w:rsidRDefault="00E64B15" w:rsidP="00D747CB">
      <w:pPr>
        <w:keepNext/>
        <w:rPr>
          <w:rStyle w:val="IntenseEmphasis"/>
          <w:sz w:val="28"/>
          <w:szCs w:val="28"/>
        </w:rPr>
      </w:pPr>
      <w:r w:rsidRPr="00E64B15">
        <w:rPr>
          <w:rStyle w:val="IntenseEmphasis"/>
          <w:sz w:val="28"/>
          <w:szCs w:val="28"/>
        </w:rPr>
        <w:t>Key Findings</w:t>
      </w:r>
    </w:p>
    <w:p w14:paraId="5DE392B6" w14:textId="77777777" w:rsidR="001544A7" w:rsidRDefault="001544A7" w:rsidP="001544A7">
      <w:pPr>
        <w:jc w:val="center"/>
        <w:rPr>
          <w:i/>
          <w:iCs/>
          <w:sz w:val="23"/>
          <w:szCs w:val="23"/>
        </w:rPr>
      </w:pPr>
      <w:r w:rsidRPr="003C5A6B">
        <w:rPr>
          <w:i/>
          <w:iCs/>
          <w:sz w:val="23"/>
          <w:szCs w:val="23"/>
        </w:rPr>
        <w:t>“The applications are made and will be decided in Queensland, about the mining of coal in Queensland, the combustion of which will cause harm to the environment in and the people of Queensland, wherever the combustion occurs.”</w:t>
      </w:r>
      <w:r>
        <w:rPr>
          <w:rStyle w:val="FootnoteReference"/>
          <w:sz w:val="23"/>
          <w:szCs w:val="23"/>
        </w:rPr>
        <w:footnoteReference w:id="22"/>
      </w:r>
    </w:p>
    <w:p w14:paraId="4E072FD8" w14:textId="77777777" w:rsidR="006E00DA" w:rsidRDefault="006E00DA" w:rsidP="001544A7">
      <w:pPr>
        <w:jc w:val="center"/>
        <w:rPr>
          <w:rFonts w:ascii="Source Sans Pro" w:hAnsi="Source Sans Pro"/>
          <w:sz w:val="22"/>
          <w:szCs w:val="22"/>
        </w:rPr>
      </w:pPr>
    </w:p>
    <w:p w14:paraId="6B3A4015" w14:textId="77777777" w:rsidR="00BC74C1" w:rsidRDefault="00BC74C1" w:rsidP="00BC74C1">
      <w:pPr>
        <w:jc w:val="center"/>
        <w:rPr>
          <w:rFonts w:ascii="Source Sans Pro" w:hAnsi="Source Sans Pro"/>
          <w:i/>
          <w:iCs/>
          <w:sz w:val="22"/>
          <w:szCs w:val="22"/>
        </w:rPr>
      </w:pPr>
      <w:r w:rsidRPr="00BC74C1">
        <w:rPr>
          <w:rFonts w:ascii="Source Sans Pro" w:hAnsi="Source Sans Pro"/>
          <w:i/>
          <w:iCs/>
          <w:sz w:val="22"/>
          <w:szCs w:val="22"/>
        </w:rPr>
        <w:t>“</w:t>
      </w:r>
      <w:proofErr w:type="gramStart"/>
      <w:r w:rsidRPr="00BC74C1">
        <w:rPr>
          <w:rFonts w:ascii="Source Sans Pro" w:hAnsi="Source Sans Pro"/>
          <w:i/>
          <w:iCs/>
          <w:sz w:val="22"/>
          <w:szCs w:val="22"/>
        </w:rPr>
        <w:t>as</w:t>
      </w:r>
      <w:proofErr w:type="gramEnd"/>
      <w:r w:rsidRPr="00BC74C1">
        <w:rPr>
          <w:rFonts w:ascii="Source Sans Pro" w:hAnsi="Source Sans Pro"/>
          <w:i/>
          <w:iCs/>
          <w:sz w:val="22"/>
          <w:szCs w:val="22"/>
        </w:rPr>
        <w:t xml:space="preserve"> DES submits, the permission to extract coal cannot logically be separated from burning it, </w:t>
      </w:r>
    </w:p>
    <w:p w14:paraId="10D30E95" w14:textId="507D1FD0" w:rsidR="00E02132" w:rsidRDefault="00BC74C1" w:rsidP="00BC74C1">
      <w:pPr>
        <w:jc w:val="center"/>
        <w:rPr>
          <w:rFonts w:ascii="Source Sans Pro" w:hAnsi="Source Sans Pro"/>
          <w:sz w:val="22"/>
          <w:szCs w:val="22"/>
        </w:rPr>
      </w:pPr>
      <w:r w:rsidRPr="00BC74C1">
        <w:rPr>
          <w:rFonts w:ascii="Source Sans Pro" w:hAnsi="Source Sans Pro"/>
          <w:i/>
          <w:iCs/>
          <w:sz w:val="22"/>
          <w:szCs w:val="22"/>
        </w:rPr>
        <w:t>that being the whole point of the exercise</w:t>
      </w:r>
      <w:r>
        <w:rPr>
          <w:rFonts w:ascii="Source Sans Pro" w:hAnsi="Source Sans Pro"/>
          <w:sz w:val="22"/>
          <w:szCs w:val="22"/>
        </w:rPr>
        <w:t>”</w:t>
      </w:r>
      <w:r w:rsidRPr="00FC0511">
        <w:rPr>
          <w:rStyle w:val="FootnoteReference"/>
          <w:rFonts w:ascii="Source Sans Pro" w:hAnsi="Source Sans Pro"/>
          <w:sz w:val="22"/>
          <w:szCs w:val="22"/>
        </w:rPr>
        <w:t xml:space="preserve"> </w:t>
      </w:r>
      <w:r>
        <w:rPr>
          <w:rStyle w:val="FootnoteReference"/>
          <w:rFonts w:ascii="Source Sans Pro" w:hAnsi="Source Sans Pro"/>
          <w:sz w:val="22"/>
          <w:szCs w:val="22"/>
        </w:rPr>
        <w:footnoteReference w:id="23"/>
      </w:r>
    </w:p>
    <w:p w14:paraId="71133B15" w14:textId="77777777" w:rsidR="00FD500D" w:rsidRDefault="00FD500D" w:rsidP="00C17001">
      <w:pPr>
        <w:rPr>
          <w:rFonts w:ascii="Source Sans Pro" w:hAnsi="Source Sans Pro"/>
          <w:sz w:val="22"/>
          <w:szCs w:val="22"/>
        </w:rPr>
      </w:pPr>
    </w:p>
    <w:p w14:paraId="5AA5A3EE" w14:textId="1B5C20F2" w:rsidR="00371C2A" w:rsidRDefault="007A6DCD" w:rsidP="00C17001">
      <w:pPr>
        <w:rPr>
          <w:rFonts w:ascii="Source Sans Pro" w:hAnsi="Source Sans Pro"/>
          <w:sz w:val="22"/>
          <w:szCs w:val="22"/>
        </w:rPr>
      </w:pPr>
      <w:r>
        <w:rPr>
          <w:rFonts w:ascii="Source Sans Pro" w:hAnsi="Source Sans Pro"/>
          <w:sz w:val="22"/>
          <w:szCs w:val="22"/>
        </w:rPr>
        <w:t>While</w:t>
      </w:r>
      <w:r w:rsidR="00726C36">
        <w:rPr>
          <w:rFonts w:ascii="Source Sans Pro" w:hAnsi="Source Sans Pro"/>
          <w:sz w:val="22"/>
          <w:szCs w:val="22"/>
        </w:rPr>
        <w:t xml:space="preserve"> it was a decision on the facts, and</w:t>
      </w:r>
      <w:r>
        <w:rPr>
          <w:rFonts w:ascii="Source Sans Pro" w:hAnsi="Source Sans Pro"/>
          <w:sz w:val="22"/>
          <w:szCs w:val="22"/>
        </w:rPr>
        <w:t xml:space="preserve"> the Court does not set binding precedent, several of its finding</w:t>
      </w:r>
      <w:r w:rsidR="006820A6">
        <w:rPr>
          <w:rFonts w:ascii="Source Sans Pro" w:hAnsi="Source Sans Pro"/>
          <w:sz w:val="22"/>
          <w:szCs w:val="22"/>
        </w:rPr>
        <w:t>s will be of broader interest in environmental, mining and climate litigation</w:t>
      </w:r>
      <w:r w:rsidR="004A5D51">
        <w:rPr>
          <w:rFonts w:ascii="Source Sans Pro" w:hAnsi="Source Sans Pro"/>
          <w:sz w:val="22"/>
          <w:szCs w:val="22"/>
        </w:rPr>
        <w:t>, in particular:</w:t>
      </w:r>
    </w:p>
    <w:p w14:paraId="38689418" w14:textId="77777777" w:rsidR="00157295" w:rsidRDefault="00157295" w:rsidP="00C17001">
      <w:pPr>
        <w:rPr>
          <w:rFonts w:ascii="Source Sans Pro" w:hAnsi="Source Sans Pro"/>
          <w:sz w:val="22"/>
          <w:szCs w:val="22"/>
        </w:rPr>
      </w:pPr>
    </w:p>
    <w:p w14:paraId="51D6D6CA" w14:textId="1F062EB1" w:rsidR="001E3931" w:rsidRDefault="001E3931" w:rsidP="004A5D51">
      <w:pPr>
        <w:pStyle w:val="ListParagraph"/>
        <w:numPr>
          <w:ilvl w:val="0"/>
          <w:numId w:val="31"/>
        </w:numPr>
        <w:rPr>
          <w:rFonts w:ascii="Source Sans Pro" w:hAnsi="Source Sans Pro"/>
          <w:sz w:val="22"/>
          <w:szCs w:val="22"/>
        </w:rPr>
      </w:pPr>
      <w:r w:rsidRPr="00EE1105">
        <w:rPr>
          <w:rFonts w:ascii="Source Sans Pro" w:hAnsi="Source Sans Pro"/>
          <w:b/>
          <w:bCs/>
          <w:sz w:val="22"/>
          <w:szCs w:val="22"/>
        </w:rPr>
        <w:t xml:space="preserve">Keeping the common </w:t>
      </w:r>
      <w:proofErr w:type="spellStart"/>
      <w:r w:rsidRPr="00EE1105">
        <w:rPr>
          <w:rFonts w:ascii="Source Sans Pro" w:hAnsi="Source Sans Pro"/>
          <w:b/>
          <w:bCs/>
          <w:sz w:val="22"/>
          <w:szCs w:val="22"/>
        </w:rPr>
        <w:t>common</w:t>
      </w:r>
      <w:proofErr w:type="spellEnd"/>
      <w:r w:rsidR="00EC433E">
        <w:rPr>
          <w:rFonts w:ascii="Source Sans Pro" w:hAnsi="Source Sans Pro"/>
          <w:sz w:val="22"/>
          <w:szCs w:val="22"/>
        </w:rPr>
        <w:t xml:space="preserve">: </w:t>
      </w:r>
      <w:r w:rsidR="00CB5BCE">
        <w:rPr>
          <w:rFonts w:ascii="Source Sans Pro" w:hAnsi="Source Sans Pro"/>
          <w:sz w:val="22"/>
          <w:szCs w:val="22"/>
        </w:rPr>
        <w:t>T</w:t>
      </w:r>
      <w:r w:rsidR="00EC433E">
        <w:rPr>
          <w:rFonts w:ascii="Source Sans Pro" w:hAnsi="Source Sans Pro"/>
          <w:sz w:val="22"/>
          <w:szCs w:val="22"/>
        </w:rPr>
        <w:t xml:space="preserve">he Court accepted </w:t>
      </w:r>
      <w:r w:rsidR="00E070FE">
        <w:rPr>
          <w:rFonts w:ascii="Source Sans Pro" w:hAnsi="Source Sans Pro"/>
          <w:sz w:val="22"/>
          <w:szCs w:val="22"/>
        </w:rPr>
        <w:t xml:space="preserve">expert opinion </w:t>
      </w:r>
      <w:r w:rsidR="009371DE">
        <w:rPr>
          <w:rFonts w:ascii="Source Sans Pro" w:hAnsi="Source Sans Pro"/>
          <w:sz w:val="22"/>
          <w:szCs w:val="22"/>
        </w:rPr>
        <w:t>that</w:t>
      </w:r>
      <w:r w:rsidR="001453F6">
        <w:rPr>
          <w:rFonts w:ascii="Source Sans Pro" w:hAnsi="Source Sans Pro"/>
          <w:sz w:val="22"/>
          <w:szCs w:val="22"/>
        </w:rPr>
        <w:t xml:space="preserve">, consonant with its status as a protected area, </w:t>
      </w:r>
      <w:r w:rsidR="009371DE">
        <w:rPr>
          <w:rFonts w:ascii="Source Sans Pro" w:hAnsi="Source Sans Pro"/>
          <w:sz w:val="22"/>
          <w:szCs w:val="22"/>
        </w:rPr>
        <w:t>Bimblebox</w:t>
      </w:r>
      <w:r w:rsidR="00EE2BBC">
        <w:rPr>
          <w:rFonts w:ascii="Source Sans Pro" w:hAnsi="Source Sans Pro"/>
          <w:sz w:val="22"/>
          <w:szCs w:val="22"/>
        </w:rPr>
        <w:t xml:space="preserve"> plays an important role in biodiversity conservation</w:t>
      </w:r>
      <w:r w:rsidR="001B1BBD">
        <w:rPr>
          <w:rFonts w:ascii="Source Sans Pro" w:hAnsi="Source Sans Pro"/>
          <w:sz w:val="22"/>
          <w:szCs w:val="22"/>
        </w:rPr>
        <w:t xml:space="preserve"> despite not supporting</w:t>
      </w:r>
      <w:r w:rsidR="004A0A69">
        <w:rPr>
          <w:rFonts w:ascii="Source Sans Pro" w:hAnsi="Source Sans Pro"/>
          <w:sz w:val="22"/>
          <w:szCs w:val="22"/>
        </w:rPr>
        <w:t xml:space="preserve"> rare </w:t>
      </w:r>
      <w:r w:rsidR="000566B3">
        <w:rPr>
          <w:rFonts w:ascii="Source Sans Pro" w:hAnsi="Source Sans Pro"/>
          <w:sz w:val="22"/>
          <w:szCs w:val="22"/>
        </w:rPr>
        <w:t>or endangered</w:t>
      </w:r>
      <w:r w:rsidR="004A0A69">
        <w:rPr>
          <w:rFonts w:ascii="Source Sans Pro" w:hAnsi="Source Sans Pro"/>
          <w:sz w:val="22"/>
          <w:szCs w:val="22"/>
        </w:rPr>
        <w:t xml:space="preserve"> species</w:t>
      </w:r>
      <w:r w:rsidR="004E7EA8">
        <w:rPr>
          <w:rFonts w:ascii="Source Sans Pro" w:hAnsi="Source Sans Pro"/>
          <w:sz w:val="22"/>
          <w:szCs w:val="22"/>
        </w:rPr>
        <w:t>.</w:t>
      </w:r>
      <w:r w:rsidR="0034036F">
        <w:rPr>
          <w:rStyle w:val="FootnoteReference"/>
          <w:rFonts w:ascii="Source Sans Pro" w:hAnsi="Source Sans Pro"/>
          <w:sz w:val="22"/>
          <w:szCs w:val="22"/>
        </w:rPr>
        <w:footnoteReference w:id="24"/>
      </w:r>
    </w:p>
    <w:p w14:paraId="4B3A0B33" w14:textId="77777777" w:rsidR="00157295" w:rsidRDefault="00157295" w:rsidP="00157295">
      <w:pPr>
        <w:pStyle w:val="ListParagraph"/>
        <w:ind w:left="360"/>
        <w:rPr>
          <w:rFonts w:ascii="Source Sans Pro" w:hAnsi="Source Sans Pro"/>
          <w:sz w:val="22"/>
          <w:szCs w:val="22"/>
        </w:rPr>
      </w:pPr>
    </w:p>
    <w:p w14:paraId="7A25E2A6" w14:textId="0CCC87A3" w:rsidR="000655FB" w:rsidRDefault="000655FB" w:rsidP="000655FB">
      <w:pPr>
        <w:pStyle w:val="ListParagraph"/>
        <w:numPr>
          <w:ilvl w:val="0"/>
          <w:numId w:val="31"/>
        </w:numPr>
        <w:rPr>
          <w:rFonts w:ascii="Source Sans Pro" w:hAnsi="Source Sans Pro"/>
          <w:sz w:val="22"/>
          <w:szCs w:val="22"/>
        </w:rPr>
      </w:pPr>
      <w:r w:rsidRPr="00EE1105">
        <w:rPr>
          <w:rFonts w:ascii="Source Sans Pro" w:hAnsi="Source Sans Pro"/>
          <w:b/>
          <w:bCs/>
          <w:sz w:val="22"/>
          <w:szCs w:val="22"/>
        </w:rPr>
        <w:t>Adaptive management</w:t>
      </w:r>
      <w:r w:rsidR="0064583F" w:rsidRPr="000C5F6A">
        <w:rPr>
          <w:rFonts w:ascii="Source Sans Pro" w:hAnsi="Source Sans Pro"/>
          <w:sz w:val="22"/>
          <w:szCs w:val="22"/>
        </w:rPr>
        <w:t>:</w:t>
      </w:r>
      <w:r w:rsidR="00067367" w:rsidRPr="000C5F6A">
        <w:rPr>
          <w:rStyle w:val="FootnoteReference"/>
          <w:rFonts w:ascii="Source Sans Pro" w:hAnsi="Source Sans Pro"/>
          <w:sz w:val="22"/>
          <w:szCs w:val="22"/>
        </w:rPr>
        <w:footnoteReference w:id="25"/>
      </w:r>
      <w:r w:rsidRPr="000C5F6A">
        <w:rPr>
          <w:rFonts w:ascii="Source Sans Pro" w:hAnsi="Source Sans Pro"/>
          <w:sz w:val="22"/>
          <w:szCs w:val="22"/>
        </w:rPr>
        <w:t xml:space="preserve"> </w:t>
      </w:r>
      <w:r w:rsidR="00CB5BCE">
        <w:rPr>
          <w:rFonts w:ascii="Source Sans Pro" w:hAnsi="Source Sans Pro"/>
          <w:sz w:val="22"/>
          <w:szCs w:val="22"/>
        </w:rPr>
        <w:t>T</w:t>
      </w:r>
      <w:r>
        <w:rPr>
          <w:rFonts w:ascii="Source Sans Pro" w:hAnsi="Source Sans Pro"/>
          <w:sz w:val="22"/>
          <w:szCs w:val="22"/>
        </w:rPr>
        <w:t xml:space="preserve">he </w:t>
      </w:r>
      <w:r w:rsidR="0064583F">
        <w:rPr>
          <w:rFonts w:ascii="Source Sans Pro" w:hAnsi="Source Sans Pro"/>
          <w:sz w:val="22"/>
          <w:szCs w:val="22"/>
        </w:rPr>
        <w:t>C</w:t>
      </w:r>
      <w:r>
        <w:rPr>
          <w:rFonts w:ascii="Source Sans Pro" w:hAnsi="Source Sans Pro"/>
          <w:sz w:val="22"/>
          <w:szCs w:val="22"/>
        </w:rPr>
        <w:t xml:space="preserve">ourt accepted that </w:t>
      </w:r>
      <w:r w:rsidR="007E030E">
        <w:rPr>
          <w:rFonts w:ascii="Source Sans Pro" w:hAnsi="Source Sans Pro"/>
          <w:sz w:val="22"/>
          <w:szCs w:val="22"/>
        </w:rPr>
        <w:t>i</w:t>
      </w:r>
      <w:r>
        <w:rPr>
          <w:rFonts w:ascii="Source Sans Pro" w:hAnsi="Source Sans Pro"/>
          <w:sz w:val="22"/>
          <w:szCs w:val="22"/>
        </w:rPr>
        <w:t>t</w:t>
      </w:r>
      <w:r w:rsidR="007E030E" w:rsidRPr="007E030E">
        <w:t xml:space="preserve"> </w:t>
      </w:r>
      <w:r w:rsidR="007E030E">
        <w:t xml:space="preserve">is </w:t>
      </w:r>
      <w:r w:rsidR="007E030E" w:rsidRPr="007E030E">
        <w:rPr>
          <w:rFonts w:ascii="Source Sans Pro" w:hAnsi="Source Sans Pro"/>
          <w:sz w:val="22"/>
          <w:szCs w:val="22"/>
        </w:rPr>
        <w:t>common to include conditions</w:t>
      </w:r>
      <w:r w:rsidR="008467F6">
        <w:rPr>
          <w:rFonts w:ascii="Source Sans Pro" w:hAnsi="Source Sans Pro"/>
          <w:sz w:val="22"/>
          <w:szCs w:val="22"/>
        </w:rPr>
        <w:t xml:space="preserve"> that</w:t>
      </w:r>
      <w:r w:rsidR="007E030E" w:rsidRPr="007E030E">
        <w:rPr>
          <w:rFonts w:ascii="Source Sans Pro" w:hAnsi="Source Sans Pro"/>
          <w:sz w:val="22"/>
          <w:szCs w:val="22"/>
        </w:rPr>
        <w:t xml:space="preserve"> allow </w:t>
      </w:r>
      <w:r w:rsidR="006629E5">
        <w:rPr>
          <w:rFonts w:ascii="Source Sans Pro" w:hAnsi="Source Sans Pro"/>
          <w:sz w:val="22"/>
          <w:szCs w:val="22"/>
        </w:rPr>
        <w:t>for</w:t>
      </w:r>
      <w:r w:rsidR="000D75BC">
        <w:rPr>
          <w:rFonts w:ascii="Source Sans Pro" w:hAnsi="Source Sans Pro"/>
          <w:sz w:val="22"/>
          <w:szCs w:val="22"/>
        </w:rPr>
        <w:t xml:space="preserve"> </w:t>
      </w:r>
      <w:r w:rsidR="0077572E">
        <w:rPr>
          <w:rFonts w:ascii="Source Sans Pro" w:hAnsi="Source Sans Pro"/>
          <w:sz w:val="22"/>
          <w:szCs w:val="22"/>
        </w:rPr>
        <w:t xml:space="preserve">the </w:t>
      </w:r>
      <w:r w:rsidR="007A2192">
        <w:rPr>
          <w:rFonts w:ascii="Source Sans Pro" w:hAnsi="Source Sans Pro"/>
          <w:sz w:val="22"/>
          <w:szCs w:val="22"/>
        </w:rPr>
        <w:t xml:space="preserve">scope of the </w:t>
      </w:r>
      <w:r w:rsidR="0077572E">
        <w:rPr>
          <w:rFonts w:ascii="Source Sans Pro" w:hAnsi="Source Sans Pro"/>
          <w:sz w:val="22"/>
          <w:szCs w:val="22"/>
        </w:rPr>
        <w:t>activity and rehabilitation requirements to be refined</w:t>
      </w:r>
      <w:r w:rsidR="00C54CD4">
        <w:rPr>
          <w:rFonts w:ascii="Source Sans Pro" w:hAnsi="Source Sans Pro"/>
          <w:sz w:val="22"/>
          <w:szCs w:val="22"/>
        </w:rPr>
        <w:t xml:space="preserve"> in response to</w:t>
      </w:r>
      <w:r w:rsidR="006629E5">
        <w:rPr>
          <w:rFonts w:ascii="Source Sans Pro" w:hAnsi="Source Sans Pro"/>
          <w:sz w:val="22"/>
          <w:szCs w:val="22"/>
        </w:rPr>
        <w:t xml:space="preserve"> information </w:t>
      </w:r>
      <w:r w:rsidR="00C54CD4">
        <w:rPr>
          <w:rFonts w:ascii="Source Sans Pro" w:hAnsi="Source Sans Pro"/>
          <w:sz w:val="22"/>
          <w:szCs w:val="22"/>
        </w:rPr>
        <w:t>obtained</w:t>
      </w:r>
      <w:r w:rsidR="0001256F">
        <w:rPr>
          <w:rFonts w:ascii="Source Sans Pro" w:hAnsi="Source Sans Pro"/>
          <w:sz w:val="22"/>
          <w:szCs w:val="22"/>
        </w:rPr>
        <w:t xml:space="preserve"> after approval</w:t>
      </w:r>
      <w:r w:rsidR="00002ACF">
        <w:rPr>
          <w:rFonts w:ascii="Source Sans Pro" w:hAnsi="Source Sans Pro"/>
          <w:sz w:val="22"/>
          <w:szCs w:val="22"/>
        </w:rPr>
        <w:t xml:space="preserve"> </w:t>
      </w:r>
      <w:r w:rsidR="00644FE0">
        <w:rPr>
          <w:rFonts w:ascii="Source Sans Pro" w:hAnsi="Source Sans Pro"/>
          <w:sz w:val="22"/>
          <w:szCs w:val="22"/>
        </w:rPr>
        <w:t xml:space="preserve">(known as </w:t>
      </w:r>
      <w:r w:rsidR="00AF677F">
        <w:rPr>
          <w:rFonts w:ascii="Source Sans Pro" w:hAnsi="Source Sans Pro"/>
          <w:sz w:val="22"/>
          <w:szCs w:val="22"/>
        </w:rPr>
        <w:t>‘a</w:t>
      </w:r>
      <w:r w:rsidR="00644FE0">
        <w:rPr>
          <w:rFonts w:ascii="Source Sans Pro" w:hAnsi="Source Sans Pro"/>
          <w:sz w:val="22"/>
          <w:szCs w:val="22"/>
        </w:rPr>
        <w:t xml:space="preserve">daptive </w:t>
      </w:r>
      <w:r w:rsidR="00AF677F">
        <w:rPr>
          <w:rFonts w:ascii="Source Sans Pro" w:hAnsi="Source Sans Pro"/>
          <w:sz w:val="22"/>
          <w:szCs w:val="22"/>
        </w:rPr>
        <w:t>m</w:t>
      </w:r>
      <w:r w:rsidR="00644FE0">
        <w:rPr>
          <w:rFonts w:ascii="Source Sans Pro" w:hAnsi="Source Sans Pro"/>
          <w:sz w:val="22"/>
          <w:szCs w:val="22"/>
        </w:rPr>
        <w:t>anagement</w:t>
      </w:r>
      <w:r w:rsidR="00AF677F">
        <w:rPr>
          <w:rFonts w:ascii="Source Sans Pro" w:hAnsi="Source Sans Pro"/>
          <w:sz w:val="22"/>
          <w:szCs w:val="22"/>
        </w:rPr>
        <w:t>’</w:t>
      </w:r>
      <w:r w:rsidR="00644FE0">
        <w:rPr>
          <w:rFonts w:ascii="Source Sans Pro" w:hAnsi="Source Sans Pro"/>
          <w:sz w:val="22"/>
          <w:szCs w:val="22"/>
        </w:rPr>
        <w:t>)</w:t>
      </w:r>
      <w:r w:rsidR="002D079E">
        <w:rPr>
          <w:rFonts w:ascii="Source Sans Pro" w:hAnsi="Source Sans Pro"/>
          <w:sz w:val="22"/>
          <w:szCs w:val="22"/>
        </w:rPr>
        <w:t>,</w:t>
      </w:r>
      <w:r w:rsidR="00644FE0">
        <w:rPr>
          <w:rFonts w:ascii="Source Sans Pro" w:hAnsi="Source Sans Pro"/>
          <w:sz w:val="22"/>
          <w:szCs w:val="22"/>
        </w:rPr>
        <w:t xml:space="preserve"> </w:t>
      </w:r>
      <w:r w:rsidR="003F460D">
        <w:rPr>
          <w:rFonts w:ascii="Source Sans Pro" w:hAnsi="Source Sans Pro"/>
          <w:sz w:val="22"/>
          <w:szCs w:val="22"/>
        </w:rPr>
        <w:t xml:space="preserve">but </w:t>
      </w:r>
      <w:r w:rsidR="00BA0616">
        <w:rPr>
          <w:rFonts w:ascii="Source Sans Pro" w:hAnsi="Source Sans Pro"/>
          <w:sz w:val="22"/>
          <w:szCs w:val="22"/>
        </w:rPr>
        <w:t xml:space="preserve">this should not be done </w:t>
      </w:r>
      <w:r w:rsidR="003F460D">
        <w:rPr>
          <w:rFonts w:ascii="Source Sans Pro" w:hAnsi="Source Sans Pro"/>
          <w:sz w:val="22"/>
          <w:szCs w:val="22"/>
        </w:rPr>
        <w:t>where</w:t>
      </w:r>
      <w:r w:rsidR="002E2953">
        <w:rPr>
          <w:rFonts w:ascii="Source Sans Pro" w:hAnsi="Source Sans Pro"/>
          <w:sz w:val="22"/>
          <w:szCs w:val="22"/>
        </w:rPr>
        <w:t xml:space="preserve"> </w:t>
      </w:r>
      <w:r w:rsidR="007A52A0">
        <w:rPr>
          <w:rFonts w:ascii="Source Sans Pro" w:hAnsi="Source Sans Pro"/>
          <w:sz w:val="22"/>
          <w:szCs w:val="22"/>
        </w:rPr>
        <w:t xml:space="preserve">approval on such </w:t>
      </w:r>
      <w:r w:rsidR="002E2953">
        <w:rPr>
          <w:rFonts w:ascii="Source Sans Pro" w:hAnsi="Source Sans Pro"/>
          <w:sz w:val="22"/>
          <w:szCs w:val="22"/>
        </w:rPr>
        <w:t>conditions could result in important environmental impacts that have not been assessed.</w:t>
      </w:r>
      <w:r w:rsidR="0065507F">
        <w:rPr>
          <w:rFonts w:ascii="Source Sans Pro" w:hAnsi="Source Sans Pro"/>
          <w:sz w:val="22"/>
          <w:szCs w:val="22"/>
        </w:rPr>
        <w:t xml:space="preserve"> </w:t>
      </w:r>
      <w:r w:rsidR="00253931">
        <w:rPr>
          <w:rFonts w:ascii="Source Sans Pro" w:hAnsi="Source Sans Pro"/>
          <w:sz w:val="22"/>
          <w:szCs w:val="22"/>
        </w:rPr>
        <w:t>In the facts of this case</w:t>
      </w:r>
      <w:r w:rsidR="00716D65">
        <w:rPr>
          <w:rFonts w:ascii="Source Sans Pro" w:hAnsi="Source Sans Pro"/>
          <w:sz w:val="22"/>
          <w:szCs w:val="22"/>
        </w:rPr>
        <w:t>,</w:t>
      </w:r>
      <w:r w:rsidR="0065507F">
        <w:rPr>
          <w:rFonts w:ascii="Source Sans Pro" w:hAnsi="Source Sans Pro"/>
          <w:sz w:val="22"/>
          <w:szCs w:val="22"/>
        </w:rPr>
        <w:t xml:space="preserve"> </w:t>
      </w:r>
      <w:r w:rsidR="00351A93">
        <w:rPr>
          <w:rFonts w:ascii="Source Sans Pro" w:hAnsi="Source Sans Pro"/>
          <w:sz w:val="22"/>
          <w:szCs w:val="22"/>
        </w:rPr>
        <w:t>‘</w:t>
      </w:r>
      <w:r w:rsidR="0065507F">
        <w:rPr>
          <w:rFonts w:ascii="Source Sans Pro" w:hAnsi="Source Sans Pro"/>
          <w:sz w:val="22"/>
          <w:szCs w:val="22"/>
        </w:rPr>
        <w:t>adaptive management</w:t>
      </w:r>
      <w:r w:rsidR="00351A93">
        <w:rPr>
          <w:rFonts w:ascii="Source Sans Pro" w:hAnsi="Source Sans Pro"/>
          <w:sz w:val="22"/>
          <w:szCs w:val="22"/>
        </w:rPr>
        <w:t>’</w:t>
      </w:r>
      <w:r w:rsidR="0065507F">
        <w:rPr>
          <w:rFonts w:ascii="Source Sans Pro" w:hAnsi="Source Sans Pro"/>
          <w:sz w:val="22"/>
          <w:szCs w:val="22"/>
        </w:rPr>
        <w:t xml:space="preserve"> conditions were proposed to alleviate significant deficits in </w:t>
      </w:r>
      <w:r w:rsidR="003C1012">
        <w:rPr>
          <w:rFonts w:ascii="Source Sans Pro" w:hAnsi="Source Sans Pro"/>
          <w:sz w:val="22"/>
          <w:szCs w:val="22"/>
        </w:rPr>
        <w:t>available information about the adverse environmental impacts of the Project.</w:t>
      </w:r>
      <w:r w:rsidR="00253931">
        <w:rPr>
          <w:rFonts w:ascii="Source Sans Pro" w:hAnsi="Source Sans Pro"/>
          <w:sz w:val="22"/>
          <w:szCs w:val="22"/>
        </w:rPr>
        <w:t xml:space="preserve"> </w:t>
      </w:r>
      <w:r w:rsidR="003C1012">
        <w:rPr>
          <w:rFonts w:ascii="Source Sans Pro" w:hAnsi="Source Sans Pro"/>
          <w:sz w:val="22"/>
          <w:szCs w:val="22"/>
        </w:rPr>
        <w:t>T</w:t>
      </w:r>
      <w:r w:rsidR="00253931">
        <w:rPr>
          <w:rFonts w:ascii="Source Sans Pro" w:hAnsi="Source Sans Pro"/>
          <w:sz w:val="22"/>
          <w:szCs w:val="22"/>
        </w:rPr>
        <w:t xml:space="preserve">he Court found </w:t>
      </w:r>
      <w:r w:rsidR="00BC3852">
        <w:rPr>
          <w:rFonts w:ascii="Source Sans Pro" w:hAnsi="Source Sans Pro"/>
          <w:sz w:val="22"/>
          <w:szCs w:val="22"/>
        </w:rPr>
        <w:t xml:space="preserve">that </w:t>
      </w:r>
      <w:r w:rsidR="00BC3852">
        <w:rPr>
          <w:sz w:val="23"/>
          <w:szCs w:val="23"/>
        </w:rPr>
        <w:t xml:space="preserve">Waratah had not provided sufficient information about the potential </w:t>
      </w:r>
      <w:r w:rsidR="0061261C">
        <w:rPr>
          <w:sz w:val="23"/>
          <w:szCs w:val="23"/>
        </w:rPr>
        <w:t xml:space="preserve">environmental </w:t>
      </w:r>
      <w:r w:rsidR="00BC3852">
        <w:rPr>
          <w:sz w:val="23"/>
          <w:szCs w:val="23"/>
        </w:rPr>
        <w:t>impacts to allow it to assess and determine the</w:t>
      </w:r>
      <w:r w:rsidR="004867DB">
        <w:rPr>
          <w:sz w:val="23"/>
          <w:szCs w:val="23"/>
        </w:rPr>
        <w:t xml:space="preserve"> initial</w:t>
      </w:r>
      <w:r w:rsidR="00BC3852">
        <w:rPr>
          <w:sz w:val="23"/>
          <w:szCs w:val="23"/>
        </w:rPr>
        <w:t xml:space="preserve"> impacts and the impacts</w:t>
      </w:r>
      <w:r w:rsidR="008A521D">
        <w:rPr>
          <w:sz w:val="23"/>
          <w:szCs w:val="23"/>
        </w:rPr>
        <w:t xml:space="preserve"> that </w:t>
      </w:r>
      <w:r w:rsidR="009D0864">
        <w:rPr>
          <w:sz w:val="23"/>
          <w:szCs w:val="23"/>
        </w:rPr>
        <w:t xml:space="preserve">would likely </w:t>
      </w:r>
      <w:r w:rsidR="008A521D">
        <w:rPr>
          <w:sz w:val="23"/>
          <w:szCs w:val="23"/>
        </w:rPr>
        <w:t>remain</w:t>
      </w:r>
      <w:r w:rsidR="00BC3852">
        <w:rPr>
          <w:sz w:val="23"/>
          <w:szCs w:val="23"/>
        </w:rPr>
        <w:t xml:space="preserve"> </w:t>
      </w:r>
      <w:r w:rsidR="009D7D45">
        <w:rPr>
          <w:sz w:val="23"/>
          <w:szCs w:val="23"/>
        </w:rPr>
        <w:t>after</w:t>
      </w:r>
      <w:r w:rsidR="00BC3852">
        <w:rPr>
          <w:sz w:val="23"/>
          <w:szCs w:val="23"/>
        </w:rPr>
        <w:t xml:space="preserve"> mitigation measures.</w:t>
      </w:r>
      <w:r w:rsidR="00BC3852">
        <w:rPr>
          <w:rStyle w:val="FootnoteReference"/>
          <w:sz w:val="23"/>
          <w:szCs w:val="23"/>
        </w:rPr>
        <w:footnoteReference w:id="26"/>
      </w:r>
      <w:r>
        <w:rPr>
          <w:rFonts w:ascii="Source Sans Pro" w:hAnsi="Source Sans Pro"/>
          <w:sz w:val="22"/>
          <w:szCs w:val="22"/>
        </w:rPr>
        <w:t xml:space="preserve">  In essence</w:t>
      </w:r>
      <w:r w:rsidR="00E421F9">
        <w:rPr>
          <w:rFonts w:ascii="Source Sans Pro" w:hAnsi="Source Sans Pro"/>
          <w:sz w:val="22"/>
          <w:szCs w:val="22"/>
        </w:rPr>
        <w:t>,</w:t>
      </w:r>
      <w:r>
        <w:rPr>
          <w:rFonts w:ascii="Source Sans Pro" w:hAnsi="Source Sans Pro"/>
          <w:sz w:val="22"/>
          <w:szCs w:val="22"/>
        </w:rPr>
        <w:t xml:space="preserve"> the uncertainty </w:t>
      </w:r>
      <w:r w:rsidR="00302FA7">
        <w:rPr>
          <w:rFonts w:ascii="Source Sans Pro" w:hAnsi="Source Sans Pro"/>
          <w:sz w:val="22"/>
          <w:szCs w:val="22"/>
        </w:rPr>
        <w:t xml:space="preserve">in impacts and </w:t>
      </w:r>
      <w:r w:rsidR="00351A93">
        <w:rPr>
          <w:rFonts w:ascii="Source Sans Pro" w:hAnsi="Source Sans Pro"/>
          <w:sz w:val="22"/>
          <w:szCs w:val="22"/>
        </w:rPr>
        <w:t xml:space="preserve">the </w:t>
      </w:r>
      <w:r w:rsidR="00302FA7">
        <w:rPr>
          <w:rFonts w:ascii="Source Sans Pro" w:hAnsi="Source Sans Pro"/>
          <w:sz w:val="22"/>
          <w:szCs w:val="22"/>
        </w:rPr>
        <w:t xml:space="preserve">potential adequacy of mitigation measures </w:t>
      </w:r>
      <w:r>
        <w:rPr>
          <w:rFonts w:ascii="Source Sans Pro" w:hAnsi="Source Sans Pro"/>
          <w:sz w:val="22"/>
          <w:szCs w:val="22"/>
        </w:rPr>
        <w:t>was too great to be accommodated by ‘adaptive management’ conditions</w:t>
      </w:r>
      <w:r w:rsidR="000C5F6A">
        <w:rPr>
          <w:rFonts w:ascii="Source Sans Pro" w:hAnsi="Source Sans Pro"/>
          <w:sz w:val="22"/>
          <w:szCs w:val="22"/>
        </w:rPr>
        <w:t>.</w:t>
      </w:r>
    </w:p>
    <w:p w14:paraId="1D7C1F1B" w14:textId="77777777" w:rsidR="00157295" w:rsidRPr="00157295" w:rsidRDefault="00157295" w:rsidP="00157295">
      <w:pPr>
        <w:rPr>
          <w:rFonts w:ascii="Source Sans Pro" w:hAnsi="Source Sans Pro"/>
          <w:sz w:val="22"/>
          <w:szCs w:val="22"/>
        </w:rPr>
      </w:pPr>
    </w:p>
    <w:p w14:paraId="21F41068" w14:textId="33E247D4" w:rsidR="004A5D51" w:rsidRPr="00157295" w:rsidRDefault="004A5D51" w:rsidP="00C63ADD">
      <w:pPr>
        <w:pStyle w:val="ListParagraph"/>
        <w:numPr>
          <w:ilvl w:val="0"/>
          <w:numId w:val="31"/>
        </w:numPr>
        <w:rPr>
          <w:rFonts w:ascii="Source Sans Pro" w:hAnsi="Source Sans Pro"/>
          <w:sz w:val="22"/>
          <w:szCs w:val="22"/>
          <w:u w:val="single"/>
        </w:rPr>
      </w:pPr>
      <w:r w:rsidRPr="00EE1105">
        <w:rPr>
          <w:rFonts w:ascii="Source Sans Pro" w:hAnsi="Source Sans Pro"/>
          <w:b/>
          <w:bCs/>
          <w:sz w:val="22"/>
          <w:szCs w:val="22"/>
        </w:rPr>
        <w:t>Offsets</w:t>
      </w:r>
      <w:r w:rsidR="00D70076">
        <w:rPr>
          <w:rFonts w:ascii="Source Sans Pro" w:hAnsi="Source Sans Pro"/>
          <w:sz w:val="22"/>
          <w:szCs w:val="22"/>
        </w:rPr>
        <w:t>:</w:t>
      </w:r>
      <w:r w:rsidR="000655FB">
        <w:rPr>
          <w:rFonts w:ascii="Source Sans Pro" w:hAnsi="Source Sans Pro"/>
          <w:sz w:val="22"/>
          <w:szCs w:val="22"/>
        </w:rPr>
        <w:t xml:space="preserve"> </w:t>
      </w:r>
      <w:r w:rsidR="00C63B2A">
        <w:rPr>
          <w:rFonts w:ascii="Source Sans Pro" w:hAnsi="Source Sans Pro"/>
          <w:sz w:val="22"/>
          <w:szCs w:val="22"/>
        </w:rPr>
        <w:t>T</w:t>
      </w:r>
      <w:r w:rsidR="000655FB">
        <w:rPr>
          <w:rFonts w:ascii="Source Sans Pro" w:hAnsi="Source Sans Pro"/>
          <w:sz w:val="22"/>
          <w:szCs w:val="22"/>
        </w:rPr>
        <w:t xml:space="preserve">he </w:t>
      </w:r>
      <w:r w:rsidR="00D70076">
        <w:rPr>
          <w:rFonts w:ascii="Source Sans Pro" w:hAnsi="Source Sans Pro"/>
          <w:sz w:val="22"/>
          <w:szCs w:val="22"/>
        </w:rPr>
        <w:t>C</w:t>
      </w:r>
      <w:r w:rsidR="000655FB">
        <w:rPr>
          <w:rFonts w:ascii="Source Sans Pro" w:hAnsi="Source Sans Pro"/>
          <w:sz w:val="22"/>
          <w:szCs w:val="22"/>
        </w:rPr>
        <w:t>ourt accepted</w:t>
      </w:r>
      <w:r w:rsidR="008D4700">
        <w:rPr>
          <w:rStyle w:val="FootnoteReference"/>
          <w:rFonts w:ascii="Source Sans Pro" w:hAnsi="Source Sans Pro"/>
          <w:sz w:val="22"/>
          <w:szCs w:val="22"/>
        </w:rPr>
        <w:footnoteReference w:id="27"/>
      </w:r>
      <w:r w:rsidR="000655FB">
        <w:rPr>
          <w:rFonts w:ascii="Source Sans Pro" w:hAnsi="Source Sans Pro"/>
          <w:sz w:val="22"/>
          <w:szCs w:val="22"/>
        </w:rPr>
        <w:t xml:space="preserve"> that Queensland policy allowed for some</w:t>
      </w:r>
      <w:r w:rsidR="00642C81">
        <w:rPr>
          <w:rFonts w:ascii="Source Sans Pro" w:hAnsi="Source Sans Pro"/>
          <w:sz w:val="22"/>
          <w:szCs w:val="22"/>
        </w:rPr>
        <w:t xml:space="preserve"> residual</w:t>
      </w:r>
      <w:r w:rsidR="000655FB">
        <w:rPr>
          <w:rFonts w:ascii="Source Sans Pro" w:hAnsi="Source Sans Pro"/>
          <w:sz w:val="22"/>
          <w:szCs w:val="22"/>
        </w:rPr>
        <w:t xml:space="preserve"> impacts on </w:t>
      </w:r>
      <w:r w:rsidR="002D53FC">
        <w:rPr>
          <w:rFonts w:ascii="Source Sans Pro" w:hAnsi="Source Sans Pro"/>
          <w:sz w:val="22"/>
          <w:szCs w:val="22"/>
        </w:rPr>
        <w:t xml:space="preserve">State significant </w:t>
      </w:r>
      <w:r w:rsidR="000655FB">
        <w:rPr>
          <w:rFonts w:ascii="Source Sans Pro" w:hAnsi="Source Sans Pro"/>
          <w:sz w:val="22"/>
          <w:szCs w:val="22"/>
        </w:rPr>
        <w:t xml:space="preserve">biodiversity </w:t>
      </w:r>
      <w:r w:rsidR="00D70076">
        <w:rPr>
          <w:rFonts w:ascii="Source Sans Pro" w:hAnsi="Source Sans Pro"/>
          <w:sz w:val="22"/>
          <w:szCs w:val="22"/>
        </w:rPr>
        <w:t>to be ‘offset’</w:t>
      </w:r>
      <w:r w:rsidR="00AE5916">
        <w:rPr>
          <w:rFonts w:ascii="Source Sans Pro" w:hAnsi="Source Sans Pro"/>
          <w:sz w:val="22"/>
          <w:szCs w:val="22"/>
        </w:rPr>
        <w:t xml:space="preserve"> (</w:t>
      </w:r>
      <w:r w:rsidR="00D70076">
        <w:rPr>
          <w:rFonts w:ascii="Source Sans Pro" w:hAnsi="Source Sans Pro"/>
          <w:sz w:val="22"/>
          <w:szCs w:val="22"/>
        </w:rPr>
        <w:t xml:space="preserve">where they </w:t>
      </w:r>
      <w:r w:rsidR="000655FB">
        <w:rPr>
          <w:rFonts w:ascii="Source Sans Pro" w:hAnsi="Source Sans Pro"/>
          <w:sz w:val="22"/>
          <w:szCs w:val="22"/>
        </w:rPr>
        <w:t>could not be mitigated or rehabilitated</w:t>
      </w:r>
      <w:r w:rsidR="00AE5916">
        <w:rPr>
          <w:rFonts w:ascii="Source Sans Pro" w:hAnsi="Source Sans Pro"/>
          <w:sz w:val="22"/>
          <w:szCs w:val="22"/>
        </w:rPr>
        <w:t>)</w:t>
      </w:r>
      <w:r w:rsidR="00B317E2">
        <w:rPr>
          <w:rStyle w:val="FootnoteReference"/>
          <w:rFonts w:ascii="Source Sans Pro" w:hAnsi="Source Sans Pro"/>
          <w:sz w:val="22"/>
          <w:szCs w:val="22"/>
        </w:rPr>
        <w:footnoteReference w:id="28"/>
      </w:r>
      <w:r w:rsidR="000655FB">
        <w:rPr>
          <w:rFonts w:ascii="Source Sans Pro" w:hAnsi="Source Sans Pro"/>
          <w:sz w:val="22"/>
          <w:szCs w:val="22"/>
        </w:rPr>
        <w:t xml:space="preserve"> by securing and protecting </w:t>
      </w:r>
      <w:r w:rsidR="003803EF">
        <w:rPr>
          <w:rFonts w:ascii="Source Sans Pro" w:hAnsi="Source Sans Pro"/>
          <w:sz w:val="22"/>
          <w:szCs w:val="22"/>
        </w:rPr>
        <w:t>equivalent or greater values elsewhere</w:t>
      </w:r>
      <w:r w:rsidR="00244AEC">
        <w:rPr>
          <w:rFonts w:ascii="Source Sans Pro" w:hAnsi="Source Sans Pro"/>
          <w:sz w:val="22"/>
          <w:szCs w:val="22"/>
        </w:rPr>
        <w:t xml:space="preserve"> –</w:t>
      </w:r>
      <w:r w:rsidR="00762AA4">
        <w:rPr>
          <w:rFonts w:ascii="Source Sans Pro" w:hAnsi="Source Sans Pro"/>
          <w:sz w:val="22"/>
          <w:szCs w:val="22"/>
        </w:rPr>
        <w:t xml:space="preserve"> </w:t>
      </w:r>
      <w:r w:rsidR="00AF37EF">
        <w:rPr>
          <w:rFonts w:ascii="Source Sans Pro" w:hAnsi="Source Sans Pro"/>
          <w:sz w:val="22"/>
          <w:szCs w:val="22"/>
        </w:rPr>
        <w:t xml:space="preserve">while acknowledging </w:t>
      </w:r>
      <w:r w:rsidR="00777CF0">
        <w:rPr>
          <w:rFonts w:ascii="Source Sans Pro" w:hAnsi="Source Sans Pro"/>
          <w:sz w:val="22"/>
          <w:szCs w:val="22"/>
        </w:rPr>
        <w:t xml:space="preserve">the experts’ evidence that </w:t>
      </w:r>
      <w:r w:rsidR="00B64D30">
        <w:rPr>
          <w:rFonts w:ascii="Source Sans Pro" w:hAnsi="Source Sans Pro"/>
          <w:sz w:val="22"/>
          <w:szCs w:val="22"/>
        </w:rPr>
        <w:t>offsets carry substantial risk</w:t>
      </w:r>
      <w:r w:rsidR="003C4BC1">
        <w:rPr>
          <w:rFonts w:ascii="Source Sans Pro" w:hAnsi="Source Sans Pro"/>
          <w:sz w:val="22"/>
          <w:szCs w:val="22"/>
        </w:rPr>
        <w:t xml:space="preserve"> of not coming to fruition</w:t>
      </w:r>
      <w:r w:rsidR="00B0250A">
        <w:rPr>
          <w:rFonts w:ascii="Source Sans Pro" w:hAnsi="Source Sans Pro"/>
          <w:sz w:val="22"/>
          <w:szCs w:val="22"/>
        </w:rPr>
        <w:t>.</w:t>
      </w:r>
      <w:r w:rsidR="001E005A">
        <w:rPr>
          <w:rStyle w:val="FootnoteReference"/>
          <w:rFonts w:ascii="Source Sans Pro" w:hAnsi="Source Sans Pro"/>
          <w:sz w:val="22"/>
          <w:szCs w:val="22"/>
        </w:rPr>
        <w:footnoteReference w:id="29"/>
      </w:r>
      <w:r w:rsidR="00B0250A">
        <w:rPr>
          <w:rFonts w:ascii="Source Sans Pro" w:hAnsi="Source Sans Pro"/>
          <w:sz w:val="22"/>
          <w:szCs w:val="22"/>
        </w:rPr>
        <w:t xml:space="preserve"> However,</w:t>
      </w:r>
      <w:r w:rsidR="003803EF">
        <w:rPr>
          <w:rFonts w:ascii="Source Sans Pro" w:hAnsi="Source Sans Pro"/>
          <w:sz w:val="22"/>
          <w:szCs w:val="22"/>
        </w:rPr>
        <w:t xml:space="preserve"> the </w:t>
      </w:r>
      <w:r w:rsidR="00B0250A">
        <w:rPr>
          <w:rFonts w:ascii="Source Sans Pro" w:hAnsi="Source Sans Pro"/>
          <w:sz w:val="22"/>
          <w:szCs w:val="22"/>
        </w:rPr>
        <w:t>C</w:t>
      </w:r>
      <w:r w:rsidR="003803EF">
        <w:rPr>
          <w:rFonts w:ascii="Source Sans Pro" w:hAnsi="Source Sans Pro"/>
          <w:sz w:val="22"/>
          <w:szCs w:val="22"/>
        </w:rPr>
        <w:t xml:space="preserve">ourt was not satisfied that the residual impacts of </w:t>
      </w:r>
      <w:r w:rsidR="00E65FB3">
        <w:rPr>
          <w:rFonts w:ascii="Source Sans Pro" w:hAnsi="Source Sans Pro"/>
          <w:sz w:val="22"/>
          <w:szCs w:val="22"/>
        </w:rPr>
        <w:t>the</w:t>
      </w:r>
      <w:r w:rsidR="003803EF">
        <w:rPr>
          <w:rFonts w:ascii="Source Sans Pro" w:hAnsi="Source Sans Pro"/>
          <w:sz w:val="22"/>
          <w:szCs w:val="22"/>
        </w:rPr>
        <w:t xml:space="preserve"> </w:t>
      </w:r>
      <w:r w:rsidR="00E65FB3">
        <w:rPr>
          <w:rFonts w:ascii="Source Sans Pro" w:hAnsi="Source Sans Pro"/>
          <w:sz w:val="22"/>
          <w:szCs w:val="22"/>
        </w:rPr>
        <w:t xml:space="preserve">Project </w:t>
      </w:r>
      <w:r w:rsidR="003803EF">
        <w:rPr>
          <w:rFonts w:ascii="Source Sans Pro" w:hAnsi="Source Sans Pro"/>
          <w:sz w:val="22"/>
          <w:szCs w:val="22"/>
        </w:rPr>
        <w:t>were sufficiently know</w:t>
      </w:r>
      <w:r w:rsidR="000D23CE">
        <w:rPr>
          <w:rFonts w:ascii="Source Sans Pro" w:hAnsi="Source Sans Pro"/>
          <w:sz w:val="22"/>
          <w:szCs w:val="22"/>
        </w:rPr>
        <w:t>n</w:t>
      </w:r>
      <w:r w:rsidR="003803EF">
        <w:rPr>
          <w:rFonts w:ascii="Source Sans Pro" w:hAnsi="Source Sans Pro"/>
          <w:sz w:val="22"/>
          <w:szCs w:val="22"/>
        </w:rPr>
        <w:t xml:space="preserve"> to be satisfied that they would be capable of being offset in accordance with the policy</w:t>
      </w:r>
      <w:r w:rsidR="00D43649">
        <w:rPr>
          <w:rFonts w:ascii="Source Sans Pro" w:hAnsi="Source Sans Pro"/>
          <w:sz w:val="22"/>
          <w:szCs w:val="22"/>
        </w:rPr>
        <w:t xml:space="preserve"> nor could</w:t>
      </w:r>
      <w:r w:rsidR="00E01437">
        <w:rPr>
          <w:rFonts w:ascii="Source Sans Pro" w:hAnsi="Source Sans Pro"/>
          <w:sz w:val="22"/>
          <w:szCs w:val="22"/>
        </w:rPr>
        <w:t xml:space="preserve"> a</w:t>
      </w:r>
      <w:r w:rsidR="00AA3E2D">
        <w:rPr>
          <w:rFonts w:ascii="Source Sans Pro" w:hAnsi="Source Sans Pro"/>
          <w:sz w:val="22"/>
          <w:szCs w:val="22"/>
        </w:rPr>
        <w:t>ny</w:t>
      </w:r>
      <w:r w:rsidR="00E01437">
        <w:rPr>
          <w:rFonts w:ascii="Source Sans Pro" w:hAnsi="Source Sans Pro"/>
          <w:sz w:val="22"/>
          <w:szCs w:val="22"/>
        </w:rPr>
        <w:t xml:space="preserve"> condition be imposed to overcome this uncertainty</w:t>
      </w:r>
      <w:r w:rsidR="003803EF">
        <w:rPr>
          <w:rFonts w:ascii="Source Sans Pro" w:hAnsi="Source Sans Pro"/>
          <w:sz w:val="22"/>
          <w:szCs w:val="22"/>
        </w:rPr>
        <w:t>.</w:t>
      </w:r>
      <w:r w:rsidR="00E01437">
        <w:rPr>
          <w:rStyle w:val="FootnoteReference"/>
          <w:rFonts w:ascii="Source Sans Pro" w:hAnsi="Source Sans Pro"/>
          <w:sz w:val="22"/>
          <w:szCs w:val="22"/>
        </w:rPr>
        <w:footnoteReference w:id="30"/>
      </w:r>
      <w:r w:rsidR="003803EF">
        <w:rPr>
          <w:rFonts w:ascii="Source Sans Pro" w:hAnsi="Source Sans Pro"/>
          <w:sz w:val="22"/>
          <w:szCs w:val="22"/>
        </w:rPr>
        <w:t xml:space="preserve">  </w:t>
      </w:r>
      <w:r w:rsidR="00956641">
        <w:rPr>
          <w:rFonts w:ascii="Source Sans Pro" w:hAnsi="Source Sans Pro"/>
          <w:sz w:val="22"/>
          <w:szCs w:val="22"/>
        </w:rPr>
        <w:t>The Court also found that o</w:t>
      </w:r>
      <w:r w:rsidR="00005072">
        <w:rPr>
          <w:rFonts w:ascii="Source Sans Pro" w:hAnsi="Source Sans Pro"/>
          <w:sz w:val="22"/>
          <w:szCs w:val="22"/>
        </w:rPr>
        <w:t xml:space="preserve">ffsets  </w:t>
      </w:r>
      <w:r w:rsidR="0071102D">
        <w:rPr>
          <w:rFonts w:ascii="Source Sans Pro" w:hAnsi="Source Sans Pro"/>
          <w:sz w:val="22"/>
          <w:szCs w:val="22"/>
        </w:rPr>
        <w:t>can</w:t>
      </w:r>
      <w:r w:rsidR="00005072">
        <w:rPr>
          <w:rFonts w:ascii="Source Sans Pro" w:hAnsi="Source Sans Pro"/>
          <w:sz w:val="22"/>
          <w:szCs w:val="22"/>
        </w:rPr>
        <w:t xml:space="preserve">not replace the </w:t>
      </w:r>
      <w:r w:rsidR="00005072">
        <w:rPr>
          <w:rFonts w:ascii="Source Sans Pro" w:hAnsi="Source Sans Pro"/>
          <w:sz w:val="22"/>
          <w:szCs w:val="22"/>
        </w:rPr>
        <w:lastRenderedPageBreak/>
        <w:t xml:space="preserve">investment of time </w:t>
      </w:r>
      <w:r w:rsidR="002974E8">
        <w:rPr>
          <w:rFonts w:ascii="Source Sans Pro" w:hAnsi="Source Sans Pro"/>
          <w:sz w:val="22"/>
          <w:szCs w:val="22"/>
        </w:rPr>
        <w:t>by the custodians of Bimblebox or the cultural and spiritual values associated with</w:t>
      </w:r>
      <w:r w:rsidR="001D5EE5">
        <w:rPr>
          <w:rFonts w:ascii="Source Sans Pro" w:hAnsi="Source Sans Pro"/>
          <w:sz w:val="22"/>
          <w:szCs w:val="22"/>
        </w:rPr>
        <w:t xml:space="preserve"> the place.</w:t>
      </w:r>
      <w:r w:rsidR="001D5EE5">
        <w:rPr>
          <w:rStyle w:val="FootnoteReference"/>
          <w:rFonts w:ascii="Source Sans Pro" w:hAnsi="Source Sans Pro"/>
          <w:sz w:val="22"/>
          <w:szCs w:val="22"/>
        </w:rPr>
        <w:footnoteReference w:id="31"/>
      </w:r>
      <w:r w:rsidR="00C63ADD">
        <w:rPr>
          <w:rFonts w:ascii="Source Sans Pro" w:hAnsi="Source Sans Pro"/>
          <w:sz w:val="22"/>
          <w:szCs w:val="22"/>
        </w:rPr>
        <w:t xml:space="preserve"> </w:t>
      </w:r>
      <w:r w:rsidR="00C63ADD" w:rsidRPr="00A9487A">
        <w:rPr>
          <w:rFonts w:ascii="Source Sans Pro" w:hAnsi="Source Sans Pro"/>
          <w:sz w:val="22"/>
          <w:szCs w:val="22"/>
        </w:rPr>
        <w:t xml:space="preserve"> Further, it found that some biodiversity values could not be replaced within reasonable time frames, such as the loss of large old trees</w:t>
      </w:r>
      <w:r w:rsidR="00C63ADD">
        <w:rPr>
          <w:rFonts w:ascii="Source Sans Pro" w:hAnsi="Source Sans Pro"/>
          <w:sz w:val="22"/>
          <w:szCs w:val="22"/>
        </w:rPr>
        <w:t xml:space="preserve"> containing hollows.</w:t>
      </w:r>
      <w:r w:rsidR="00C63ADD">
        <w:rPr>
          <w:rStyle w:val="FootnoteReference"/>
          <w:rFonts w:ascii="Source Sans Pro" w:hAnsi="Source Sans Pro"/>
          <w:sz w:val="22"/>
          <w:szCs w:val="22"/>
        </w:rPr>
        <w:footnoteReference w:id="32"/>
      </w:r>
    </w:p>
    <w:p w14:paraId="0AEA563A" w14:textId="77777777" w:rsidR="00157295" w:rsidRPr="00157295" w:rsidRDefault="00157295" w:rsidP="00157295">
      <w:pPr>
        <w:rPr>
          <w:rFonts w:ascii="Source Sans Pro" w:hAnsi="Source Sans Pro"/>
          <w:sz w:val="22"/>
          <w:szCs w:val="22"/>
          <w:u w:val="single"/>
        </w:rPr>
      </w:pPr>
    </w:p>
    <w:p w14:paraId="1EBBAE07" w14:textId="47AD2FEB" w:rsidR="005C1515" w:rsidRDefault="005C1515" w:rsidP="002D31AC">
      <w:pPr>
        <w:pStyle w:val="ListParagraph"/>
        <w:numPr>
          <w:ilvl w:val="0"/>
          <w:numId w:val="31"/>
        </w:numPr>
        <w:rPr>
          <w:rFonts w:ascii="Source Sans Pro" w:hAnsi="Source Sans Pro"/>
          <w:sz w:val="22"/>
          <w:szCs w:val="22"/>
        </w:rPr>
      </w:pPr>
      <w:r w:rsidRPr="00EE1105">
        <w:rPr>
          <w:rFonts w:ascii="Source Sans Pro" w:hAnsi="Source Sans Pro"/>
          <w:b/>
          <w:bCs/>
          <w:sz w:val="22"/>
          <w:szCs w:val="22"/>
        </w:rPr>
        <w:t>Relevance of exported emissions</w:t>
      </w:r>
      <w:r>
        <w:rPr>
          <w:rFonts w:ascii="Source Sans Pro" w:hAnsi="Source Sans Pro"/>
          <w:sz w:val="22"/>
          <w:szCs w:val="22"/>
        </w:rPr>
        <w:t>:</w:t>
      </w:r>
      <w:r w:rsidR="00A0488E">
        <w:rPr>
          <w:rFonts w:ascii="Source Sans Pro" w:hAnsi="Source Sans Pro"/>
          <w:sz w:val="22"/>
          <w:szCs w:val="22"/>
        </w:rPr>
        <w:t xml:space="preserve"> </w:t>
      </w:r>
      <w:r w:rsidR="003A00D8">
        <w:rPr>
          <w:rFonts w:ascii="Source Sans Pro" w:hAnsi="Source Sans Pro"/>
          <w:sz w:val="22"/>
          <w:szCs w:val="22"/>
        </w:rPr>
        <w:t>P</w:t>
      </w:r>
      <w:r w:rsidR="00A0488E">
        <w:rPr>
          <w:rFonts w:ascii="Source Sans Pro" w:hAnsi="Source Sans Pro"/>
          <w:sz w:val="22"/>
          <w:szCs w:val="22"/>
        </w:rPr>
        <w:t xml:space="preserve">revious cases had questioned whether the emissions from the burning of coal from the </w:t>
      </w:r>
      <w:r w:rsidR="00A267E1">
        <w:rPr>
          <w:rFonts w:ascii="Source Sans Pro" w:hAnsi="Source Sans Pro"/>
          <w:sz w:val="22"/>
          <w:szCs w:val="22"/>
        </w:rPr>
        <w:t>P</w:t>
      </w:r>
      <w:r w:rsidR="00A0488E">
        <w:rPr>
          <w:rFonts w:ascii="Source Sans Pro" w:hAnsi="Source Sans Pro"/>
          <w:sz w:val="22"/>
          <w:szCs w:val="22"/>
        </w:rPr>
        <w:t>roject could be considered an</w:t>
      </w:r>
      <w:r w:rsidR="002D31AC">
        <w:rPr>
          <w:rFonts w:ascii="Source Sans Pro" w:hAnsi="Source Sans Pro"/>
          <w:sz w:val="22"/>
          <w:szCs w:val="22"/>
        </w:rPr>
        <w:t xml:space="preserve"> impact under the </w:t>
      </w:r>
      <w:r w:rsidR="002D31AC" w:rsidRPr="003A0966">
        <w:rPr>
          <w:rFonts w:ascii="Source Sans Pro" w:hAnsi="Source Sans Pro"/>
          <w:i/>
          <w:iCs/>
          <w:sz w:val="22"/>
          <w:szCs w:val="22"/>
        </w:rPr>
        <w:t>Environmental Protection Act 1994</w:t>
      </w:r>
      <w:r w:rsidR="002D31AC">
        <w:rPr>
          <w:rFonts w:ascii="Source Sans Pro" w:hAnsi="Source Sans Pro"/>
          <w:sz w:val="22"/>
          <w:szCs w:val="22"/>
        </w:rPr>
        <w:t xml:space="preserve"> (Qld)</w:t>
      </w:r>
      <w:r w:rsidR="00EA3A49">
        <w:rPr>
          <w:rFonts w:ascii="Source Sans Pro" w:hAnsi="Source Sans Pro"/>
          <w:sz w:val="22"/>
          <w:szCs w:val="22"/>
        </w:rPr>
        <w:t>. However</w:t>
      </w:r>
      <w:r w:rsidR="002D31AC">
        <w:rPr>
          <w:rFonts w:ascii="Source Sans Pro" w:hAnsi="Source Sans Pro"/>
          <w:sz w:val="22"/>
          <w:szCs w:val="22"/>
        </w:rPr>
        <w:t xml:space="preserve">, the Court </w:t>
      </w:r>
      <w:r w:rsidR="00EA3A49">
        <w:rPr>
          <w:rFonts w:ascii="Source Sans Pro" w:hAnsi="Source Sans Pro"/>
          <w:sz w:val="22"/>
          <w:szCs w:val="22"/>
        </w:rPr>
        <w:t>considered</w:t>
      </w:r>
      <w:r w:rsidR="0008642B">
        <w:rPr>
          <w:rFonts w:ascii="Source Sans Pro" w:hAnsi="Source Sans Pro"/>
          <w:sz w:val="22"/>
          <w:szCs w:val="22"/>
        </w:rPr>
        <w:t xml:space="preserve"> that the definition of impact included indirect impacts and</w:t>
      </w:r>
      <w:r w:rsidR="00F05001">
        <w:rPr>
          <w:rFonts w:ascii="Source Sans Pro" w:hAnsi="Source Sans Pro"/>
          <w:sz w:val="22"/>
          <w:szCs w:val="22"/>
        </w:rPr>
        <w:t xml:space="preserve"> found</w:t>
      </w:r>
      <w:r w:rsidR="0008642B">
        <w:rPr>
          <w:rFonts w:ascii="Source Sans Pro" w:hAnsi="Source Sans Pro"/>
          <w:sz w:val="22"/>
          <w:szCs w:val="22"/>
        </w:rPr>
        <w:t xml:space="preserve"> </w:t>
      </w:r>
      <w:r w:rsidR="00670D44">
        <w:rPr>
          <w:rFonts w:ascii="Source Sans Pro" w:hAnsi="Source Sans Pro"/>
          <w:sz w:val="22"/>
          <w:szCs w:val="22"/>
        </w:rPr>
        <w:t>that there</w:t>
      </w:r>
      <w:r w:rsidR="0008642B">
        <w:rPr>
          <w:rFonts w:ascii="Source Sans Pro" w:hAnsi="Source Sans Pro"/>
          <w:sz w:val="22"/>
          <w:szCs w:val="22"/>
        </w:rPr>
        <w:t xml:space="preserve"> </w:t>
      </w:r>
      <w:r w:rsidR="00403D62">
        <w:rPr>
          <w:rFonts w:ascii="Source Sans Pro" w:hAnsi="Source Sans Pro"/>
          <w:sz w:val="22"/>
          <w:szCs w:val="22"/>
        </w:rPr>
        <w:t>is a logical and rational connection between</w:t>
      </w:r>
      <w:r w:rsidR="0008642B">
        <w:rPr>
          <w:rFonts w:ascii="Source Sans Pro" w:hAnsi="Source Sans Pro"/>
          <w:sz w:val="22"/>
          <w:szCs w:val="22"/>
        </w:rPr>
        <w:t xml:space="preserve"> </w:t>
      </w:r>
      <w:r w:rsidR="003F5E64">
        <w:rPr>
          <w:rFonts w:ascii="Source Sans Pro" w:hAnsi="Source Sans Pro"/>
          <w:sz w:val="22"/>
          <w:szCs w:val="22"/>
        </w:rPr>
        <w:t xml:space="preserve">the act of authorising </w:t>
      </w:r>
      <w:r w:rsidR="009F4EE3">
        <w:rPr>
          <w:rFonts w:ascii="Source Sans Pro" w:hAnsi="Source Sans Pro"/>
          <w:sz w:val="22"/>
          <w:szCs w:val="22"/>
        </w:rPr>
        <w:t xml:space="preserve">a coal mine and the harm that would be </w:t>
      </w:r>
      <w:r w:rsidR="00C66BA5">
        <w:rPr>
          <w:rFonts w:ascii="Source Sans Pro" w:hAnsi="Source Sans Pro"/>
          <w:sz w:val="22"/>
          <w:szCs w:val="22"/>
        </w:rPr>
        <w:t>caused by</w:t>
      </w:r>
      <w:r w:rsidR="009F4EE3">
        <w:rPr>
          <w:rFonts w:ascii="Source Sans Pro" w:hAnsi="Source Sans Pro"/>
          <w:sz w:val="22"/>
          <w:szCs w:val="22"/>
        </w:rPr>
        <w:t xml:space="preserve"> the emission of greenhouse gases</w:t>
      </w:r>
      <w:r w:rsidR="0008642B">
        <w:rPr>
          <w:rFonts w:ascii="Source Sans Pro" w:hAnsi="Source Sans Pro"/>
          <w:sz w:val="22"/>
          <w:szCs w:val="22"/>
        </w:rPr>
        <w:t xml:space="preserve"> </w:t>
      </w:r>
      <w:r w:rsidR="007C3147">
        <w:rPr>
          <w:rFonts w:ascii="Source Sans Pro" w:hAnsi="Source Sans Pro"/>
          <w:sz w:val="22"/>
          <w:szCs w:val="22"/>
        </w:rPr>
        <w:t>once the coal is burned.</w:t>
      </w:r>
      <w:r w:rsidR="007C3147">
        <w:rPr>
          <w:rStyle w:val="FootnoteReference"/>
          <w:rFonts w:ascii="Source Sans Pro" w:hAnsi="Source Sans Pro"/>
          <w:sz w:val="22"/>
          <w:szCs w:val="22"/>
        </w:rPr>
        <w:footnoteReference w:id="33"/>
      </w:r>
      <w:r w:rsidR="0008642B">
        <w:rPr>
          <w:rFonts w:ascii="Source Sans Pro" w:hAnsi="Source Sans Pro"/>
          <w:sz w:val="22"/>
          <w:szCs w:val="22"/>
        </w:rPr>
        <w:t xml:space="preserve"> </w:t>
      </w:r>
      <w:r w:rsidR="002D31AC">
        <w:rPr>
          <w:rFonts w:ascii="Source Sans Pro" w:hAnsi="Source Sans Pro"/>
          <w:sz w:val="22"/>
          <w:szCs w:val="22"/>
        </w:rPr>
        <w:t xml:space="preserve"> </w:t>
      </w:r>
      <w:r w:rsidR="00DF7A92">
        <w:rPr>
          <w:rFonts w:ascii="Source Sans Pro" w:hAnsi="Source Sans Pro"/>
          <w:sz w:val="22"/>
          <w:szCs w:val="22"/>
        </w:rPr>
        <w:t>Accordingly the cour</w:t>
      </w:r>
      <w:r w:rsidR="001F01DB">
        <w:rPr>
          <w:rFonts w:ascii="Source Sans Pro" w:hAnsi="Source Sans Pro"/>
          <w:sz w:val="22"/>
          <w:szCs w:val="22"/>
        </w:rPr>
        <w:t>t found exported emissions to be a relevant factor to consider under the EP Act.</w:t>
      </w:r>
      <w:r w:rsidR="001F01DB">
        <w:rPr>
          <w:rStyle w:val="FootnoteReference"/>
          <w:rFonts w:ascii="Source Sans Pro" w:hAnsi="Source Sans Pro"/>
          <w:sz w:val="22"/>
          <w:szCs w:val="22"/>
        </w:rPr>
        <w:footnoteReference w:id="34"/>
      </w:r>
    </w:p>
    <w:p w14:paraId="5A143538" w14:textId="77777777" w:rsidR="00157295" w:rsidRPr="00157295" w:rsidRDefault="00157295" w:rsidP="00157295">
      <w:pPr>
        <w:rPr>
          <w:rFonts w:ascii="Source Sans Pro" w:hAnsi="Source Sans Pro"/>
          <w:sz w:val="22"/>
          <w:szCs w:val="22"/>
        </w:rPr>
      </w:pPr>
    </w:p>
    <w:p w14:paraId="7A519AE3" w14:textId="730853AA" w:rsidR="00736460" w:rsidRPr="00157295" w:rsidRDefault="00736460" w:rsidP="004A5D51">
      <w:pPr>
        <w:pStyle w:val="ListParagraph"/>
        <w:numPr>
          <w:ilvl w:val="0"/>
          <w:numId w:val="31"/>
        </w:numPr>
        <w:rPr>
          <w:rFonts w:ascii="Source Sans Pro" w:hAnsi="Source Sans Pro"/>
          <w:sz w:val="22"/>
          <w:szCs w:val="22"/>
        </w:rPr>
      </w:pPr>
      <w:r w:rsidRPr="0000308C">
        <w:rPr>
          <w:rFonts w:ascii="Source Sans Pro" w:hAnsi="Source Sans Pro"/>
          <w:b/>
          <w:bCs/>
          <w:sz w:val="22"/>
          <w:szCs w:val="22"/>
        </w:rPr>
        <w:t xml:space="preserve">The </w:t>
      </w:r>
      <w:r w:rsidR="00DF5FD7" w:rsidRPr="0000308C">
        <w:rPr>
          <w:rFonts w:ascii="Source Sans Pro" w:hAnsi="Source Sans Pro"/>
          <w:b/>
          <w:bCs/>
          <w:sz w:val="22"/>
          <w:szCs w:val="22"/>
        </w:rPr>
        <w:t xml:space="preserve">Court as an institution in the </w:t>
      </w:r>
      <w:r w:rsidR="00A34CEC">
        <w:rPr>
          <w:rFonts w:ascii="Source Sans Pro" w:hAnsi="Source Sans Pro"/>
          <w:b/>
          <w:bCs/>
          <w:sz w:val="22"/>
          <w:szCs w:val="22"/>
        </w:rPr>
        <w:t>Earth S</w:t>
      </w:r>
      <w:r w:rsidR="00DF5FD7" w:rsidRPr="0000308C">
        <w:rPr>
          <w:rFonts w:ascii="Source Sans Pro" w:hAnsi="Source Sans Pro"/>
          <w:b/>
          <w:bCs/>
          <w:sz w:val="22"/>
          <w:szCs w:val="22"/>
        </w:rPr>
        <w:t>ystem</w:t>
      </w:r>
      <w:r w:rsidR="00F05001">
        <w:rPr>
          <w:rFonts w:ascii="Source Sans Pro" w:hAnsi="Source Sans Pro"/>
          <w:sz w:val="22"/>
          <w:szCs w:val="22"/>
        </w:rPr>
        <w:t>:</w:t>
      </w:r>
      <w:r w:rsidR="00FF538F">
        <w:rPr>
          <w:rFonts w:ascii="Source Sans Pro" w:hAnsi="Source Sans Pro"/>
          <w:sz w:val="22"/>
          <w:szCs w:val="22"/>
        </w:rPr>
        <w:t xml:space="preserve"> </w:t>
      </w:r>
      <w:r w:rsidR="00FF538F">
        <w:rPr>
          <w:sz w:val="23"/>
          <w:szCs w:val="23"/>
        </w:rPr>
        <w:t xml:space="preserve">The Court accepted </w:t>
      </w:r>
      <w:r w:rsidR="000B22D0">
        <w:rPr>
          <w:sz w:val="23"/>
          <w:szCs w:val="23"/>
        </w:rPr>
        <w:t>expert evid</w:t>
      </w:r>
      <w:r w:rsidR="00B441D9">
        <w:rPr>
          <w:sz w:val="23"/>
          <w:szCs w:val="23"/>
        </w:rPr>
        <w:t xml:space="preserve">ence </w:t>
      </w:r>
      <w:r w:rsidR="00EE4D0C">
        <w:rPr>
          <w:sz w:val="23"/>
          <w:szCs w:val="23"/>
        </w:rPr>
        <w:t>from the climate scientists about the Earth System to explain the causes and impacts of climate change.</w:t>
      </w:r>
      <w:r w:rsidR="00FF538F">
        <w:rPr>
          <w:sz w:val="23"/>
          <w:szCs w:val="23"/>
        </w:rPr>
        <w:t xml:space="preserve"> Earth System is defined as the suite of interlinked physical, chemical, biological and human processes that cycle (transport and transform) materials and energy in complex, dynamic ways within the system.</w:t>
      </w:r>
      <w:r w:rsidR="002F3EE4">
        <w:rPr>
          <w:rStyle w:val="FootnoteReference"/>
          <w:sz w:val="23"/>
          <w:szCs w:val="23"/>
        </w:rPr>
        <w:footnoteReference w:id="35"/>
      </w:r>
      <w:r w:rsidR="00AA5CC8">
        <w:rPr>
          <w:sz w:val="23"/>
          <w:szCs w:val="23"/>
        </w:rPr>
        <w:t xml:space="preserve"> Within that Earth System, the Court is part of the ‘anthroposphere</w:t>
      </w:r>
      <w:r w:rsidR="004622DE">
        <w:rPr>
          <w:sz w:val="23"/>
          <w:szCs w:val="23"/>
        </w:rPr>
        <w:t>’</w:t>
      </w:r>
      <w:r w:rsidR="00AA5CC8">
        <w:rPr>
          <w:sz w:val="23"/>
          <w:szCs w:val="23"/>
        </w:rPr>
        <w:t xml:space="preserve"> as an institution within a decision making framework that can determine whether or not an activity that will emit </w:t>
      </w:r>
      <w:r w:rsidR="004622DE">
        <w:rPr>
          <w:sz w:val="23"/>
          <w:szCs w:val="23"/>
        </w:rPr>
        <w:t>greenhouse gases</w:t>
      </w:r>
      <w:r w:rsidR="00AA5CC8">
        <w:rPr>
          <w:sz w:val="23"/>
          <w:szCs w:val="23"/>
        </w:rPr>
        <w:t xml:space="preserve"> can proceed.</w:t>
      </w:r>
      <w:r w:rsidR="00A744B7">
        <w:rPr>
          <w:rStyle w:val="FootnoteReference"/>
          <w:sz w:val="23"/>
          <w:szCs w:val="23"/>
        </w:rPr>
        <w:footnoteReference w:id="36"/>
      </w:r>
      <w:r w:rsidR="00EF57ED">
        <w:rPr>
          <w:sz w:val="23"/>
          <w:szCs w:val="23"/>
        </w:rPr>
        <w:t xml:space="preserve">  This is an important conceptual step </w:t>
      </w:r>
      <w:r w:rsidR="009567D8">
        <w:rPr>
          <w:sz w:val="23"/>
          <w:szCs w:val="23"/>
        </w:rPr>
        <w:t>by the science</w:t>
      </w:r>
      <w:r w:rsidR="004C6674">
        <w:rPr>
          <w:sz w:val="23"/>
          <w:szCs w:val="23"/>
        </w:rPr>
        <w:t xml:space="preserve"> </w:t>
      </w:r>
      <w:r w:rsidR="00130E16">
        <w:rPr>
          <w:sz w:val="23"/>
          <w:szCs w:val="23"/>
        </w:rPr>
        <w:t xml:space="preserve">in </w:t>
      </w:r>
      <w:r w:rsidR="004C6674">
        <w:rPr>
          <w:sz w:val="23"/>
          <w:szCs w:val="23"/>
        </w:rPr>
        <w:t xml:space="preserve">demonstrating the </w:t>
      </w:r>
      <w:r w:rsidR="00A46FD1">
        <w:rPr>
          <w:sz w:val="23"/>
          <w:szCs w:val="23"/>
        </w:rPr>
        <w:t>consequences</w:t>
      </w:r>
      <w:r w:rsidR="004C6674">
        <w:rPr>
          <w:sz w:val="23"/>
          <w:szCs w:val="23"/>
        </w:rPr>
        <w:t xml:space="preserve"> of institutional decisions</w:t>
      </w:r>
      <w:r w:rsidR="00A46FD1">
        <w:rPr>
          <w:sz w:val="23"/>
          <w:szCs w:val="23"/>
        </w:rPr>
        <w:t xml:space="preserve"> on the climate.</w:t>
      </w:r>
    </w:p>
    <w:p w14:paraId="217EA35C" w14:textId="77777777" w:rsidR="00157295" w:rsidRPr="00157295" w:rsidRDefault="00157295" w:rsidP="00157295">
      <w:pPr>
        <w:rPr>
          <w:rFonts w:ascii="Source Sans Pro" w:hAnsi="Source Sans Pro"/>
          <w:sz w:val="22"/>
          <w:szCs w:val="22"/>
        </w:rPr>
      </w:pPr>
    </w:p>
    <w:p w14:paraId="69C90C24" w14:textId="277A521C" w:rsidR="00734D0B" w:rsidRDefault="004A5D51" w:rsidP="004A5D51">
      <w:pPr>
        <w:pStyle w:val="ListParagraph"/>
        <w:numPr>
          <w:ilvl w:val="0"/>
          <w:numId w:val="31"/>
        </w:numPr>
        <w:rPr>
          <w:rFonts w:ascii="Source Sans Pro" w:hAnsi="Source Sans Pro"/>
          <w:sz w:val="22"/>
          <w:szCs w:val="22"/>
        </w:rPr>
      </w:pPr>
      <w:r w:rsidRPr="00EE1105">
        <w:rPr>
          <w:rFonts w:ascii="Source Sans Pro" w:hAnsi="Source Sans Pro"/>
          <w:b/>
          <w:bCs/>
          <w:sz w:val="22"/>
          <w:szCs w:val="22"/>
        </w:rPr>
        <w:t>Perfect substitution</w:t>
      </w:r>
      <w:r w:rsidR="003C7398">
        <w:rPr>
          <w:rFonts w:ascii="Source Sans Pro" w:hAnsi="Source Sans Pro"/>
          <w:sz w:val="22"/>
          <w:szCs w:val="22"/>
        </w:rPr>
        <w:t xml:space="preserve">: </w:t>
      </w:r>
      <w:r w:rsidR="007D60AC">
        <w:rPr>
          <w:rFonts w:ascii="Source Sans Pro" w:hAnsi="Source Sans Pro"/>
          <w:sz w:val="22"/>
          <w:szCs w:val="22"/>
        </w:rPr>
        <w:t>A</w:t>
      </w:r>
      <w:r w:rsidR="007C62A0">
        <w:rPr>
          <w:rFonts w:ascii="Source Sans Pro" w:hAnsi="Source Sans Pro"/>
          <w:sz w:val="22"/>
          <w:szCs w:val="22"/>
        </w:rPr>
        <w:t>s in</w:t>
      </w:r>
      <w:r w:rsidR="003C7398">
        <w:rPr>
          <w:rFonts w:ascii="Source Sans Pro" w:hAnsi="Source Sans Pro"/>
          <w:sz w:val="22"/>
          <w:szCs w:val="22"/>
        </w:rPr>
        <w:t xml:space="preserve"> </w:t>
      </w:r>
      <w:r w:rsidR="00E92725">
        <w:rPr>
          <w:rFonts w:ascii="Source Sans Pro" w:hAnsi="Source Sans Pro"/>
          <w:sz w:val="22"/>
          <w:szCs w:val="22"/>
        </w:rPr>
        <w:t>previous case</w:t>
      </w:r>
      <w:r w:rsidR="004F040C">
        <w:rPr>
          <w:rFonts w:ascii="Source Sans Pro" w:hAnsi="Source Sans Pro"/>
          <w:sz w:val="22"/>
          <w:szCs w:val="22"/>
        </w:rPr>
        <w:t>s</w:t>
      </w:r>
      <w:r w:rsidR="00E92725">
        <w:rPr>
          <w:rFonts w:ascii="Source Sans Pro" w:hAnsi="Source Sans Pro"/>
          <w:sz w:val="22"/>
          <w:szCs w:val="22"/>
        </w:rPr>
        <w:t>,</w:t>
      </w:r>
      <w:r w:rsidR="004F040C">
        <w:rPr>
          <w:rStyle w:val="FootnoteReference"/>
          <w:rFonts w:ascii="Source Sans Pro" w:hAnsi="Source Sans Pro"/>
          <w:sz w:val="22"/>
          <w:szCs w:val="22"/>
        </w:rPr>
        <w:footnoteReference w:id="37"/>
      </w:r>
      <w:r w:rsidR="00E92725">
        <w:rPr>
          <w:rFonts w:ascii="Source Sans Pro" w:hAnsi="Source Sans Pro"/>
          <w:sz w:val="22"/>
          <w:szCs w:val="22"/>
        </w:rPr>
        <w:t xml:space="preserve"> the miner</w:t>
      </w:r>
      <w:r w:rsidR="00EA1492">
        <w:rPr>
          <w:rFonts w:ascii="Source Sans Pro" w:hAnsi="Source Sans Pro"/>
          <w:sz w:val="22"/>
          <w:szCs w:val="22"/>
        </w:rPr>
        <w:t xml:space="preserve"> argued that</w:t>
      </w:r>
      <w:r w:rsidR="00C82430">
        <w:rPr>
          <w:rFonts w:ascii="Source Sans Pro" w:hAnsi="Source Sans Pro"/>
          <w:sz w:val="22"/>
          <w:szCs w:val="22"/>
        </w:rPr>
        <w:t>, as</w:t>
      </w:r>
      <w:r w:rsidR="00EA1492">
        <w:rPr>
          <w:rFonts w:ascii="Source Sans Pro" w:hAnsi="Source Sans Pro"/>
          <w:sz w:val="22"/>
          <w:szCs w:val="22"/>
        </w:rPr>
        <w:t xml:space="preserve"> </w:t>
      </w:r>
      <w:r w:rsidR="00B27CC3">
        <w:rPr>
          <w:rFonts w:ascii="Source Sans Pro" w:hAnsi="Source Sans Pro"/>
          <w:sz w:val="22"/>
          <w:szCs w:val="22"/>
        </w:rPr>
        <w:t>the</w:t>
      </w:r>
      <w:r w:rsidR="00CB7B0F">
        <w:rPr>
          <w:rFonts w:ascii="Source Sans Pro" w:hAnsi="Source Sans Pro"/>
          <w:sz w:val="22"/>
          <w:szCs w:val="22"/>
        </w:rPr>
        <w:t xml:space="preserve"> global</w:t>
      </w:r>
      <w:r w:rsidR="00B27CC3">
        <w:rPr>
          <w:rFonts w:ascii="Source Sans Pro" w:hAnsi="Source Sans Pro"/>
          <w:sz w:val="22"/>
          <w:szCs w:val="22"/>
        </w:rPr>
        <w:t xml:space="preserve"> demand for coal would be unchanged by</w:t>
      </w:r>
      <w:r w:rsidR="00C82430">
        <w:rPr>
          <w:rFonts w:ascii="Source Sans Pro" w:hAnsi="Source Sans Pro"/>
          <w:sz w:val="22"/>
          <w:szCs w:val="22"/>
        </w:rPr>
        <w:t xml:space="preserve"> </w:t>
      </w:r>
      <w:r w:rsidR="00B27CC3">
        <w:rPr>
          <w:rFonts w:ascii="Source Sans Pro" w:hAnsi="Source Sans Pro"/>
          <w:sz w:val="22"/>
          <w:szCs w:val="22"/>
        </w:rPr>
        <w:t>approval</w:t>
      </w:r>
      <w:r w:rsidR="00C82430">
        <w:rPr>
          <w:rFonts w:ascii="Source Sans Pro" w:hAnsi="Source Sans Pro"/>
          <w:sz w:val="22"/>
          <w:szCs w:val="22"/>
        </w:rPr>
        <w:t xml:space="preserve"> of the Project,</w:t>
      </w:r>
      <w:r w:rsidR="00B27CC3">
        <w:rPr>
          <w:rFonts w:ascii="Source Sans Pro" w:hAnsi="Source Sans Pro"/>
          <w:sz w:val="22"/>
          <w:szCs w:val="22"/>
        </w:rPr>
        <w:t xml:space="preserve"> the Project coal would </w:t>
      </w:r>
      <w:r w:rsidR="000259A6">
        <w:rPr>
          <w:rFonts w:ascii="Source Sans Pro" w:hAnsi="Source Sans Pro"/>
          <w:sz w:val="22"/>
          <w:szCs w:val="22"/>
        </w:rPr>
        <w:t>displace</w:t>
      </w:r>
      <w:r w:rsidR="00734D0B">
        <w:rPr>
          <w:rFonts w:ascii="Source Sans Pro" w:hAnsi="Source Sans Pro"/>
          <w:sz w:val="22"/>
          <w:szCs w:val="22"/>
        </w:rPr>
        <w:t xml:space="preserve"> (or ‘perfectly substitute’)</w:t>
      </w:r>
      <w:r w:rsidR="000259A6">
        <w:rPr>
          <w:rFonts w:ascii="Source Sans Pro" w:hAnsi="Source Sans Pro"/>
          <w:sz w:val="22"/>
          <w:szCs w:val="22"/>
        </w:rPr>
        <w:t xml:space="preserve"> </w:t>
      </w:r>
      <w:r w:rsidR="007A5245">
        <w:rPr>
          <w:rFonts w:ascii="Source Sans Pro" w:hAnsi="Source Sans Pro"/>
          <w:sz w:val="22"/>
          <w:szCs w:val="22"/>
        </w:rPr>
        <w:t>the same amount of</w:t>
      </w:r>
      <w:r w:rsidR="00B27CC3">
        <w:rPr>
          <w:rFonts w:ascii="Source Sans Pro" w:hAnsi="Source Sans Pro"/>
          <w:sz w:val="22"/>
          <w:szCs w:val="22"/>
        </w:rPr>
        <w:t xml:space="preserve"> </w:t>
      </w:r>
      <w:r w:rsidR="000259A6">
        <w:rPr>
          <w:rFonts w:ascii="Source Sans Pro" w:hAnsi="Source Sans Pro"/>
          <w:sz w:val="22"/>
          <w:szCs w:val="22"/>
        </w:rPr>
        <w:t>lower quality coal in the market resulting in less emissions</w:t>
      </w:r>
      <w:r w:rsidR="00CB7B0F">
        <w:rPr>
          <w:rFonts w:ascii="Source Sans Pro" w:hAnsi="Source Sans Pro"/>
          <w:sz w:val="22"/>
          <w:szCs w:val="22"/>
        </w:rPr>
        <w:t>, thereby helping</w:t>
      </w:r>
      <w:r w:rsidR="00C007A1">
        <w:rPr>
          <w:rFonts w:ascii="Source Sans Pro" w:hAnsi="Source Sans Pro"/>
          <w:sz w:val="22"/>
          <w:szCs w:val="22"/>
        </w:rPr>
        <w:t xml:space="preserve"> to</w:t>
      </w:r>
      <w:r w:rsidR="00CB7B0F">
        <w:rPr>
          <w:rFonts w:ascii="Source Sans Pro" w:hAnsi="Source Sans Pro"/>
          <w:sz w:val="22"/>
          <w:szCs w:val="22"/>
        </w:rPr>
        <w:t xml:space="preserve"> ameliorate climate change impacts.</w:t>
      </w:r>
      <w:r w:rsidR="00DC21DB">
        <w:rPr>
          <w:rStyle w:val="FootnoteReference"/>
          <w:rFonts w:ascii="Source Sans Pro" w:hAnsi="Source Sans Pro"/>
          <w:sz w:val="22"/>
          <w:szCs w:val="22"/>
        </w:rPr>
        <w:footnoteReference w:id="38"/>
      </w:r>
      <w:r w:rsidR="00CB7B0F">
        <w:rPr>
          <w:rFonts w:ascii="Source Sans Pro" w:hAnsi="Source Sans Pro"/>
          <w:sz w:val="22"/>
          <w:szCs w:val="22"/>
        </w:rPr>
        <w:t xml:space="preserve"> </w:t>
      </w:r>
      <w:r w:rsidR="003C7398">
        <w:rPr>
          <w:rFonts w:ascii="Source Sans Pro" w:hAnsi="Source Sans Pro"/>
          <w:sz w:val="22"/>
          <w:szCs w:val="22"/>
        </w:rPr>
        <w:t xml:space="preserve">The Court </w:t>
      </w:r>
      <w:r w:rsidR="00EC6189">
        <w:rPr>
          <w:rFonts w:ascii="Source Sans Pro" w:hAnsi="Source Sans Pro"/>
          <w:sz w:val="22"/>
          <w:szCs w:val="22"/>
        </w:rPr>
        <w:t>rejected</w:t>
      </w:r>
      <w:r w:rsidR="00734D0B">
        <w:rPr>
          <w:rFonts w:ascii="Source Sans Pro" w:hAnsi="Source Sans Pro"/>
          <w:sz w:val="22"/>
          <w:szCs w:val="22"/>
        </w:rPr>
        <w:t xml:space="preserve"> that argument</w:t>
      </w:r>
      <w:r w:rsidR="006D6923">
        <w:rPr>
          <w:rFonts w:ascii="Source Sans Pro" w:hAnsi="Source Sans Pro"/>
          <w:sz w:val="22"/>
          <w:szCs w:val="22"/>
        </w:rPr>
        <w:t xml:space="preserve"> upon the following</w:t>
      </w:r>
      <w:r w:rsidR="00734D0B">
        <w:rPr>
          <w:rFonts w:ascii="Source Sans Pro" w:hAnsi="Source Sans Pro"/>
          <w:sz w:val="22"/>
          <w:szCs w:val="22"/>
        </w:rPr>
        <w:t xml:space="preserve"> finding:</w:t>
      </w:r>
    </w:p>
    <w:p w14:paraId="3B2F0AB8" w14:textId="7192BA2B" w:rsidR="00986A05" w:rsidRDefault="00986A05" w:rsidP="00734D0B">
      <w:pPr>
        <w:pStyle w:val="ListParagraph"/>
        <w:numPr>
          <w:ilvl w:val="1"/>
          <w:numId w:val="31"/>
        </w:numPr>
        <w:rPr>
          <w:rFonts w:ascii="Source Sans Pro" w:hAnsi="Source Sans Pro"/>
          <w:sz w:val="22"/>
          <w:szCs w:val="22"/>
        </w:rPr>
      </w:pPr>
      <w:r>
        <w:rPr>
          <w:rFonts w:ascii="Source Sans Pro" w:hAnsi="Source Sans Pro"/>
          <w:sz w:val="22"/>
          <w:szCs w:val="22"/>
        </w:rPr>
        <w:t>C</w:t>
      </w:r>
      <w:r w:rsidR="00503FDC">
        <w:rPr>
          <w:rFonts w:ascii="Source Sans Pro" w:hAnsi="Source Sans Pro"/>
          <w:sz w:val="22"/>
          <w:szCs w:val="22"/>
        </w:rPr>
        <w:t>oal</w:t>
      </w:r>
      <w:r>
        <w:rPr>
          <w:rFonts w:ascii="Source Sans Pro" w:hAnsi="Source Sans Pro"/>
          <w:sz w:val="22"/>
          <w:szCs w:val="22"/>
        </w:rPr>
        <w:t xml:space="preserve"> fired</w:t>
      </w:r>
      <w:r w:rsidR="00503FDC">
        <w:rPr>
          <w:rFonts w:ascii="Source Sans Pro" w:hAnsi="Source Sans Pro"/>
          <w:sz w:val="22"/>
          <w:szCs w:val="22"/>
        </w:rPr>
        <w:t xml:space="preserve"> power stations </w:t>
      </w:r>
      <w:r w:rsidR="00A4180A">
        <w:rPr>
          <w:rFonts w:ascii="Source Sans Pro" w:hAnsi="Source Sans Pro"/>
          <w:sz w:val="22"/>
          <w:szCs w:val="22"/>
        </w:rPr>
        <w:t xml:space="preserve">are designed to </w:t>
      </w:r>
      <w:r w:rsidR="00503FDC">
        <w:rPr>
          <w:rFonts w:ascii="Source Sans Pro" w:hAnsi="Source Sans Pro"/>
          <w:sz w:val="22"/>
          <w:szCs w:val="22"/>
        </w:rPr>
        <w:t>burn coal of a consistent quality</w:t>
      </w:r>
      <w:r w:rsidR="00AD7281">
        <w:rPr>
          <w:rStyle w:val="FootnoteReference"/>
          <w:rFonts w:ascii="Source Sans Pro" w:hAnsi="Source Sans Pro"/>
          <w:sz w:val="22"/>
          <w:szCs w:val="22"/>
        </w:rPr>
        <w:footnoteReference w:id="39"/>
      </w:r>
      <w:r w:rsidR="00503FDC">
        <w:rPr>
          <w:rFonts w:ascii="Source Sans Pro" w:hAnsi="Source Sans Pro"/>
          <w:sz w:val="22"/>
          <w:szCs w:val="22"/>
        </w:rPr>
        <w:t xml:space="preserve"> so </w:t>
      </w:r>
      <w:r w:rsidR="00F91EC1">
        <w:rPr>
          <w:rFonts w:ascii="Source Sans Pro" w:hAnsi="Source Sans Pro"/>
          <w:sz w:val="22"/>
          <w:szCs w:val="22"/>
        </w:rPr>
        <w:t xml:space="preserve">it is likely that any substitution </w:t>
      </w:r>
      <w:r w:rsidR="00173285">
        <w:rPr>
          <w:rFonts w:ascii="Source Sans Pro" w:hAnsi="Source Sans Pro"/>
          <w:sz w:val="22"/>
          <w:szCs w:val="22"/>
        </w:rPr>
        <w:t xml:space="preserve">would be </w:t>
      </w:r>
      <w:r w:rsidR="004D716D">
        <w:rPr>
          <w:rFonts w:ascii="Source Sans Pro" w:hAnsi="Source Sans Pro"/>
          <w:sz w:val="22"/>
          <w:szCs w:val="22"/>
        </w:rPr>
        <w:t xml:space="preserve">by coal of </w:t>
      </w:r>
      <w:r w:rsidR="00152579">
        <w:rPr>
          <w:rFonts w:ascii="Source Sans Pro" w:hAnsi="Source Sans Pro"/>
          <w:sz w:val="22"/>
          <w:szCs w:val="22"/>
        </w:rPr>
        <w:t xml:space="preserve">a </w:t>
      </w:r>
      <w:r w:rsidR="004D716D">
        <w:rPr>
          <w:rFonts w:ascii="Source Sans Pro" w:hAnsi="Source Sans Pro"/>
          <w:sz w:val="22"/>
          <w:szCs w:val="22"/>
        </w:rPr>
        <w:t xml:space="preserve">similar </w:t>
      </w:r>
      <w:proofErr w:type="gramStart"/>
      <w:r w:rsidR="004D716D">
        <w:rPr>
          <w:rFonts w:ascii="Source Sans Pro" w:hAnsi="Source Sans Pro"/>
          <w:sz w:val="22"/>
          <w:szCs w:val="22"/>
        </w:rPr>
        <w:t>quality</w:t>
      </w:r>
      <w:r w:rsidR="004C1EB6">
        <w:rPr>
          <w:rFonts w:ascii="Source Sans Pro" w:hAnsi="Source Sans Pro"/>
          <w:sz w:val="22"/>
          <w:szCs w:val="22"/>
        </w:rPr>
        <w:t>, and</w:t>
      </w:r>
      <w:proofErr w:type="gramEnd"/>
      <w:r w:rsidR="004C1EB6">
        <w:rPr>
          <w:rFonts w:ascii="Source Sans Pro" w:hAnsi="Source Sans Pro"/>
          <w:sz w:val="22"/>
          <w:szCs w:val="22"/>
        </w:rPr>
        <w:t xml:space="preserve"> would </w:t>
      </w:r>
      <w:r w:rsidR="00203FE3">
        <w:rPr>
          <w:rFonts w:ascii="Source Sans Pro" w:hAnsi="Source Sans Pro"/>
          <w:sz w:val="22"/>
          <w:szCs w:val="22"/>
        </w:rPr>
        <w:t xml:space="preserve">therefore not </w:t>
      </w:r>
      <w:r w:rsidR="00152579">
        <w:rPr>
          <w:rFonts w:ascii="Source Sans Pro" w:hAnsi="Source Sans Pro"/>
          <w:sz w:val="22"/>
          <w:szCs w:val="22"/>
        </w:rPr>
        <w:t xml:space="preserve">result in a substitution of </w:t>
      </w:r>
      <w:r w:rsidR="00983BB4">
        <w:rPr>
          <w:rFonts w:ascii="Source Sans Pro" w:hAnsi="Source Sans Pro"/>
          <w:sz w:val="22"/>
          <w:szCs w:val="22"/>
        </w:rPr>
        <w:t>‘</w:t>
      </w:r>
      <w:r w:rsidR="00152579">
        <w:rPr>
          <w:rFonts w:ascii="Source Sans Pro" w:hAnsi="Source Sans Pro"/>
          <w:sz w:val="22"/>
          <w:szCs w:val="22"/>
        </w:rPr>
        <w:t xml:space="preserve">high </w:t>
      </w:r>
      <w:r w:rsidR="00B42AEB">
        <w:rPr>
          <w:rFonts w:ascii="Source Sans Pro" w:hAnsi="Source Sans Pro"/>
          <w:sz w:val="22"/>
          <w:szCs w:val="22"/>
        </w:rPr>
        <w:t>quality’</w:t>
      </w:r>
      <w:r w:rsidR="00152579">
        <w:rPr>
          <w:rFonts w:ascii="Source Sans Pro" w:hAnsi="Source Sans Pro"/>
          <w:sz w:val="22"/>
          <w:szCs w:val="22"/>
        </w:rPr>
        <w:t xml:space="preserve"> coal for brown coal and there would be no material </w:t>
      </w:r>
      <w:r w:rsidR="00F81F69">
        <w:rPr>
          <w:rFonts w:ascii="Source Sans Pro" w:hAnsi="Source Sans Pro"/>
          <w:sz w:val="22"/>
          <w:szCs w:val="22"/>
        </w:rPr>
        <w:t>reduction in emissions if the Project is approved</w:t>
      </w:r>
      <w:r w:rsidR="001777FE">
        <w:rPr>
          <w:rFonts w:ascii="Source Sans Pro" w:hAnsi="Source Sans Pro"/>
          <w:sz w:val="22"/>
          <w:szCs w:val="22"/>
        </w:rPr>
        <w:t>.</w:t>
      </w:r>
      <w:r w:rsidR="005B6FB2">
        <w:rPr>
          <w:rStyle w:val="FootnoteReference"/>
          <w:rFonts w:ascii="Source Sans Pro" w:hAnsi="Source Sans Pro"/>
          <w:sz w:val="22"/>
          <w:szCs w:val="22"/>
        </w:rPr>
        <w:footnoteReference w:id="40"/>
      </w:r>
    </w:p>
    <w:p w14:paraId="2BC4460D" w14:textId="7A0F3880" w:rsidR="00B35B82" w:rsidRDefault="008B59D5" w:rsidP="00734D0B">
      <w:pPr>
        <w:pStyle w:val="ListParagraph"/>
        <w:numPr>
          <w:ilvl w:val="1"/>
          <w:numId w:val="31"/>
        </w:numPr>
        <w:rPr>
          <w:rFonts w:ascii="Source Sans Pro" w:hAnsi="Source Sans Pro"/>
          <w:sz w:val="22"/>
          <w:szCs w:val="22"/>
        </w:rPr>
      </w:pPr>
      <w:r>
        <w:rPr>
          <w:rFonts w:ascii="Source Sans Pro" w:hAnsi="Source Sans Pro"/>
          <w:sz w:val="22"/>
          <w:szCs w:val="22"/>
        </w:rPr>
        <w:t xml:space="preserve">While it was not necessary to decide the point, </w:t>
      </w:r>
      <w:r w:rsidR="00E179D1">
        <w:rPr>
          <w:rFonts w:ascii="Source Sans Pro" w:hAnsi="Source Sans Pro"/>
          <w:sz w:val="22"/>
          <w:szCs w:val="22"/>
        </w:rPr>
        <w:t xml:space="preserve">the Court considered </w:t>
      </w:r>
      <w:r>
        <w:rPr>
          <w:rFonts w:ascii="Source Sans Pro" w:hAnsi="Source Sans Pro"/>
          <w:sz w:val="22"/>
          <w:szCs w:val="22"/>
        </w:rPr>
        <w:t>there is merit in</w:t>
      </w:r>
      <w:r w:rsidR="00E554E7">
        <w:rPr>
          <w:rFonts w:ascii="Source Sans Pro" w:hAnsi="Source Sans Pro"/>
          <w:sz w:val="22"/>
          <w:szCs w:val="22"/>
        </w:rPr>
        <w:t xml:space="preserve"> the argument that </w:t>
      </w:r>
      <w:r w:rsidR="00E179D1">
        <w:rPr>
          <w:rFonts w:ascii="Source Sans Pro" w:hAnsi="Source Sans Pro"/>
          <w:sz w:val="22"/>
          <w:szCs w:val="22"/>
        </w:rPr>
        <w:t>its</w:t>
      </w:r>
      <w:r w:rsidR="00E554E7">
        <w:rPr>
          <w:rFonts w:ascii="Source Sans Pro" w:hAnsi="Source Sans Pro"/>
          <w:sz w:val="22"/>
          <w:szCs w:val="22"/>
        </w:rPr>
        <w:t xml:space="preserve"> task is to consider the imp</w:t>
      </w:r>
      <w:r w:rsidR="00B35B82">
        <w:rPr>
          <w:rFonts w:ascii="Source Sans Pro" w:hAnsi="Source Sans Pro"/>
          <w:sz w:val="22"/>
          <w:szCs w:val="22"/>
        </w:rPr>
        <w:t>acts of the Project if approved</w:t>
      </w:r>
      <w:r w:rsidR="00E179D1">
        <w:rPr>
          <w:rFonts w:ascii="Source Sans Pro" w:hAnsi="Source Sans Pro"/>
          <w:sz w:val="22"/>
          <w:szCs w:val="22"/>
        </w:rPr>
        <w:t>,</w:t>
      </w:r>
      <w:r w:rsidR="00B35B82">
        <w:rPr>
          <w:rFonts w:ascii="Source Sans Pro" w:hAnsi="Source Sans Pro"/>
          <w:sz w:val="22"/>
          <w:szCs w:val="22"/>
        </w:rPr>
        <w:t xml:space="preserve"> rather than the impacts if it is refused</w:t>
      </w:r>
      <w:r w:rsidR="00F96082">
        <w:rPr>
          <w:rFonts w:ascii="Source Sans Pro" w:hAnsi="Source Sans Pro"/>
          <w:sz w:val="22"/>
          <w:szCs w:val="22"/>
        </w:rPr>
        <w:t xml:space="preserve">, </w:t>
      </w:r>
      <w:r w:rsidR="00C85277">
        <w:rPr>
          <w:rFonts w:ascii="Source Sans Pro" w:hAnsi="Source Sans Pro"/>
          <w:sz w:val="22"/>
          <w:szCs w:val="22"/>
        </w:rPr>
        <w:t xml:space="preserve">which results </w:t>
      </w:r>
      <w:r w:rsidR="00F96082">
        <w:rPr>
          <w:rFonts w:ascii="Source Sans Pro" w:hAnsi="Source Sans Pro"/>
          <w:sz w:val="22"/>
          <w:szCs w:val="22"/>
        </w:rPr>
        <w:t>in a logical flaw in the perfect substitution argument</w:t>
      </w:r>
      <w:r w:rsidR="004B38A2">
        <w:rPr>
          <w:rFonts w:ascii="Source Sans Pro" w:hAnsi="Source Sans Pro"/>
          <w:sz w:val="22"/>
          <w:szCs w:val="22"/>
        </w:rPr>
        <w:t>.</w:t>
      </w:r>
      <w:r w:rsidR="00441B7C">
        <w:rPr>
          <w:rStyle w:val="FootnoteReference"/>
          <w:rFonts w:ascii="Source Sans Pro" w:hAnsi="Source Sans Pro"/>
          <w:sz w:val="22"/>
          <w:szCs w:val="22"/>
        </w:rPr>
        <w:footnoteReference w:id="41"/>
      </w:r>
    </w:p>
    <w:p w14:paraId="62B2D3CE" w14:textId="34F7777E" w:rsidR="00A73476" w:rsidRDefault="000402F9" w:rsidP="00957C40">
      <w:pPr>
        <w:pStyle w:val="ListParagraph"/>
        <w:numPr>
          <w:ilvl w:val="1"/>
          <w:numId w:val="31"/>
        </w:numPr>
        <w:rPr>
          <w:rFonts w:ascii="Source Sans Pro" w:hAnsi="Source Sans Pro"/>
          <w:sz w:val="22"/>
          <w:szCs w:val="22"/>
        </w:rPr>
      </w:pPr>
      <w:r>
        <w:rPr>
          <w:rFonts w:ascii="Source Sans Pro" w:hAnsi="Source Sans Pro"/>
          <w:sz w:val="22"/>
          <w:szCs w:val="22"/>
        </w:rPr>
        <w:lastRenderedPageBreak/>
        <w:t>On the evidence</w:t>
      </w:r>
      <w:r w:rsidR="004B38A2">
        <w:rPr>
          <w:rFonts w:ascii="Source Sans Pro" w:hAnsi="Source Sans Pro"/>
          <w:sz w:val="22"/>
          <w:szCs w:val="22"/>
        </w:rPr>
        <w:t>,</w:t>
      </w:r>
      <w:r w:rsidR="002B049A">
        <w:rPr>
          <w:rFonts w:ascii="Source Sans Pro" w:hAnsi="Source Sans Pro"/>
          <w:sz w:val="22"/>
          <w:szCs w:val="22"/>
        </w:rPr>
        <w:t xml:space="preserve"> t</w:t>
      </w:r>
      <w:r w:rsidR="00795E9B">
        <w:rPr>
          <w:rFonts w:ascii="Source Sans Pro" w:hAnsi="Source Sans Pro"/>
          <w:sz w:val="22"/>
          <w:szCs w:val="22"/>
        </w:rPr>
        <w:t xml:space="preserve">he </w:t>
      </w:r>
      <w:r w:rsidR="00957C40" w:rsidRPr="00957C40">
        <w:rPr>
          <w:rFonts w:ascii="Source Sans Pro" w:hAnsi="Source Sans Pro"/>
          <w:sz w:val="22"/>
          <w:szCs w:val="22"/>
        </w:rPr>
        <w:t>Court</w:t>
      </w:r>
      <w:r w:rsidR="00795E9B">
        <w:rPr>
          <w:rFonts w:ascii="Source Sans Pro" w:hAnsi="Source Sans Pro"/>
          <w:sz w:val="22"/>
          <w:szCs w:val="22"/>
        </w:rPr>
        <w:t xml:space="preserve"> </w:t>
      </w:r>
      <w:r w:rsidR="00276BFE">
        <w:rPr>
          <w:rFonts w:ascii="Source Sans Pro" w:hAnsi="Source Sans Pro"/>
          <w:sz w:val="22"/>
          <w:szCs w:val="22"/>
        </w:rPr>
        <w:t>accepted</w:t>
      </w:r>
      <w:r w:rsidR="00795E9B">
        <w:rPr>
          <w:rFonts w:ascii="Source Sans Pro" w:hAnsi="Source Sans Pro"/>
          <w:sz w:val="22"/>
          <w:szCs w:val="22"/>
        </w:rPr>
        <w:t xml:space="preserve"> that</w:t>
      </w:r>
      <w:r w:rsidR="00A73476">
        <w:rPr>
          <w:rFonts w:ascii="Source Sans Pro" w:hAnsi="Source Sans Pro"/>
          <w:sz w:val="22"/>
          <w:szCs w:val="22"/>
        </w:rPr>
        <w:t>:</w:t>
      </w:r>
    </w:p>
    <w:p w14:paraId="65906159" w14:textId="77777777" w:rsidR="00654A8B" w:rsidRDefault="00534723" w:rsidP="002335CA">
      <w:pPr>
        <w:pStyle w:val="ListParagraph"/>
        <w:numPr>
          <w:ilvl w:val="2"/>
          <w:numId w:val="31"/>
        </w:numPr>
        <w:rPr>
          <w:rFonts w:ascii="Source Sans Pro" w:hAnsi="Source Sans Pro"/>
          <w:sz w:val="22"/>
          <w:szCs w:val="22"/>
        </w:rPr>
      </w:pPr>
      <w:r>
        <w:rPr>
          <w:rFonts w:ascii="Source Sans Pro" w:hAnsi="Source Sans Pro"/>
          <w:sz w:val="22"/>
          <w:szCs w:val="22"/>
        </w:rPr>
        <w:t>global</w:t>
      </w:r>
      <w:r w:rsidR="00015937">
        <w:rPr>
          <w:rFonts w:ascii="Source Sans Pro" w:hAnsi="Source Sans Pro"/>
          <w:sz w:val="22"/>
          <w:szCs w:val="22"/>
        </w:rPr>
        <w:t xml:space="preserve"> demand for coal </w:t>
      </w:r>
      <w:r w:rsidR="008F74AA">
        <w:rPr>
          <w:rFonts w:ascii="Source Sans Pro" w:hAnsi="Source Sans Pro"/>
          <w:sz w:val="22"/>
          <w:szCs w:val="22"/>
        </w:rPr>
        <w:t>is</w:t>
      </w:r>
      <w:r w:rsidR="00015937">
        <w:rPr>
          <w:rFonts w:ascii="Source Sans Pro" w:hAnsi="Source Sans Pro"/>
          <w:sz w:val="22"/>
          <w:szCs w:val="22"/>
        </w:rPr>
        <w:t xml:space="preserve"> falling</w:t>
      </w:r>
      <w:r w:rsidR="00A56B2B">
        <w:rPr>
          <w:rFonts w:ascii="Source Sans Pro" w:hAnsi="Source Sans Pro"/>
          <w:sz w:val="22"/>
          <w:szCs w:val="22"/>
        </w:rPr>
        <w:t xml:space="preserve"> and </w:t>
      </w:r>
      <w:r w:rsidR="00EC57E1">
        <w:rPr>
          <w:rFonts w:ascii="Source Sans Pro" w:hAnsi="Source Sans Pro"/>
          <w:sz w:val="22"/>
          <w:szCs w:val="22"/>
        </w:rPr>
        <w:t>renewable energy</w:t>
      </w:r>
      <w:r w:rsidR="00727DDA">
        <w:rPr>
          <w:rFonts w:ascii="Source Sans Pro" w:hAnsi="Source Sans Pro"/>
          <w:sz w:val="22"/>
          <w:szCs w:val="22"/>
        </w:rPr>
        <w:t xml:space="preserve"> will become more available and, with the development of ener</w:t>
      </w:r>
      <w:r w:rsidR="00B73901">
        <w:rPr>
          <w:rFonts w:ascii="Source Sans Pro" w:hAnsi="Source Sans Pro"/>
          <w:sz w:val="22"/>
          <w:szCs w:val="22"/>
        </w:rPr>
        <w:t>gy</w:t>
      </w:r>
      <w:r w:rsidR="009E7A1B">
        <w:rPr>
          <w:rFonts w:ascii="Source Sans Pro" w:hAnsi="Source Sans Pro"/>
          <w:sz w:val="22"/>
          <w:szCs w:val="22"/>
        </w:rPr>
        <w:t xml:space="preserve"> storage, will be</w:t>
      </w:r>
      <w:r w:rsidR="001E7B35">
        <w:rPr>
          <w:rFonts w:ascii="Source Sans Pro" w:hAnsi="Source Sans Pro"/>
          <w:sz w:val="22"/>
          <w:szCs w:val="22"/>
        </w:rPr>
        <w:t xml:space="preserve"> a suitable replacement for the Project coal</w:t>
      </w:r>
      <w:r w:rsidR="00A73476">
        <w:rPr>
          <w:rFonts w:ascii="Source Sans Pro" w:hAnsi="Source Sans Pro"/>
          <w:sz w:val="22"/>
          <w:szCs w:val="22"/>
        </w:rPr>
        <w:t>;</w:t>
      </w:r>
      <w:r w:rsidR="003340BE">
        <w:rPr>
          <w:rStyle w:val="FootnoteReference"/>
          <w:rFonts w:ascii="Source Sans Pro" w:hAnsi="Source Sans Pro"/>
          <w:sz w:val="22"/>
          <w:szCs w:val="22"/>
        </w:rPr>
        <w:footnoteReference w:id="42"/>
      </w:r>
      <w:r w:rsidR="00015937">
        <w:rPr>
          <w:rFonts w:ascii="Source Sans Pro" w:hAnsi="Source Sans Pro"/>
          <w:sz w:val="22"/>
          <w:szCs w:val="22"/>
        </w:rPr>
        <w:t xml:space="preserve"> </w:t>
      </w:r>
    </w:p>
    <w:p w14:paraId="40D4E556" w14:textId="5C6CEEE3" w:rsidR="00A73476" w:rsidRDefault="00A5344D" w:rsidP="0000308C">
      <w:pPr>
        <w:pStyle w:val="ListParagraph"/>
        <w:numPr>
          <w:ilvl w:val="2"/>
          <w:numId w:val="31"/>
        </w:numPr>
        <w:rPr>
          <w:rFonts w:ascii="Source Sans Pro" w:hAnsi="Source Sans Pro"/>
          <w:sz w:val="22"/>
          <w:szCs w:val="22"/>
        </w:rPr>
      </w:pPr>
      <w:r>
        <w:rPr>
          <w:rFonts w:ascii="Source Sans Pro" w:hAnsi="Source Sans Pro"/>
          <w:sz w:val="22"/>
          <w:szCs w:val="22"/>
        </w:rPr>
        <w:t xml:space="preserve">considering the woeful track record of carbon capture and storage, which is only operational in one of the </w:t>
      </w:r>
      <w:r w:rsidR="0042465F">
        <w:rPr>
          <w:rFonts w:ascii="Source Sans Pro" w:hAnsi="Source Sans Pro"/>
          <w:sz w:val="22"/>
          <w:szCs w:val="22"/>
        </w:rPr>
        <w:t xml:space="preserve">8,500 operating power stations, little weight could be placed on </w:t>
      </w:r>
      <w:r w:rsidR="00C44D02">
        <w:rPr>
          <w:rFonts w:ascii="Source Sans Pro" w:hAnsi="Source Sans Pro"/>
          <w:sz w:val="22"/>
          <w:szCs w:val="22"/>
        </w:rPr>
        <w:t xml:space="preserve">it </w:t>
      </w:r>
      <w:r w:rsidR="00B55564">
        <w:rPr>
          <w:rFonts w:ascii="Source Sans Pro" w:hAnsi="Source Sans Pro"/>
          <w:sz w:val="22"/>
          <w:szCs w:val="22"/>
        </w:rPr>
        <w:t>in predicting future coal demand</w:t>
      </w:r>
      <w:r w:rsidR="00F46931">
        <w:rPr>
          <w:rFonts w:ascii="Source Sans Pro" w:hAnsi="Source Sans Pro"/>
          <w:sz w:val="22"/>
          <w:szCs w:val="22"/>
        </w:rPr>
        <w:t xml:space="preserve"> or emission</w:t>
      </w:r>
      <w:r w:rsidR="00B55564">
        <w:rPr>
          <w:rFonts w:ascii="Source Sans Pro" w:hAnsi="Source Sans Pro"/>
          <w:sz w:val="22"/>
          <w:szCs w:val="22"/>
        </w:rPr>
        <w:t>;</w:t>
      </w:r>
      <w:r w:rsidR="001325B5">
        <w:rPr>
          <w:rStyle w:val="FootnoteReference"/>
          <w:rFonts w:ascii="Source Sans Pro" w:hAnsi="Source Sans Pro"/>
          <w:sz w:val="22"/>
          <w:szCs w:val="22"/>
        </w:rPr>
        <w:footnoteReference w:id="43"/>
      </w:r>
      <w:r w:rsidR="00B55564">
        <w:rPr>
          <w:rFonts w:ascii="Source Sans Pro" w:hAnsi="Source Sans Pro"/>
          <w:sz w:val="22"/>
          <w:szCs w:val="22"/>
        </w:rPr>
        <w:t xml:space="preserve"> </w:t>
      </w:r>
    </w:p>
    <w:p w14:paraId="61D7E291" w14:textId="18B17EA2" w:rsidR="00A73476" w:rsidRDefault="00795E9B" w:rsidP="0000308C">
      <w:pPr>
        <w:pStyle w:val="ListParagraph"/>
        <w:numPr>
          <w:ilvl w:val="2"/>
          <w:numId w:val="31"/>
        </w:numPr>
        <w:rPr>
          <w:rFonts w:ascii="Source Sans Pro" w:hAnsi="Source Sans Pro"/>
          <w:sz w:val="22"/>
          <w:szCs w:val="22"/>
        </w:rPr>
      </w:pPr>
      <w:r>
        <w:rPr>
          <w:rFonts w:ascii="Source Sans Pro" w:hAnsi="Source Sans Pro"/>
          <w:sz w:val="22"/>
          <w:szCs w:val="22"/>
        </w:rPr>
        <w:t xml:space="preserve">there </w:t>
      </w:r>
      <w:r w:rsidR="00A73476">
        <w:rPr>
          <w:rFonts w:ascii="Source Sans Pro" w:hAnsi="Source Sans Pro"/>
          <w:sz w:val="22"/>
          <w:szCs w:val="22"/>
        </w:rPr>
        <w:t>is</w:t>
      </w:r>
      <w:r w:rsidR="00A73476" w:rsidRPr="00957C40">
        <w:rPr>
          <w:rFonts w:ascii="Source Sans Pro" w:hAnsi="Source Sans Pro"/>
          <w:sz w:val="22"/>
          <w:szCs w:val="22"/>
        </w:rPr>
        <w:t xml:space="preserve"> </w:t>
      </w:r>
      <w:r>
        <w:rPr>
          <w:rFonts w:ascii="Source Sans Pro" w:hAnsi="Source Sans Pro"/>
          <w:sz w:val="22"/>
          <w:szCs w:val="22"/>
        </w:rPr>
        <w:t>already enough coal supply to exceed the Paris Agreement goal of 1.5C</w:t>
      </w:r>
      <w:r w:rsidR="00C73FB2">
        <w:rPr>
          <w:rFonts w:ascii="Source Sans Pro" w:hAnsi="Source Sans Pro"/>
          <w:sz w:val="22"/>
          <w:szCs w:val="22"/>
        </w:rPr>
        <w:t>;</w:t>
      </w:r>
      <w:r w:rsidR="00123C70">
        <w:rPr>
          <w:rStyle w:val="FootnoteReference"/>
          <w:rFonts w:ascii="Source Sans Pro" w:hAnsi="Source Sans Pro"/>
          <w:sz w:val="22"/>
          <w:szCs w:val="22"/>
        </w:rPr>
        <w:footnoteReference w:id="44"/>
      </w:r>
      <w:r w:rsidR="00C618F6">
        <w:rPr>
          <w:rFonts w:ascii="Source Sans Pro" w:hAnsi="Source Sans Pro"/>
          <w:sz w:val="22"/>
          <w:szCs w:val="22"/>
        </w:rPr>
        <w:t xml:space="preserve"> </w:t>
      </w:r>
    </w:p>
    <w:p w14:paraId="499902A0" w14:textId="77777777" w:rsidR="00DF06CC" w:rsidRDefault="007A0D34" w:rsidP="002335CA">
      <w:pPr>
        <w:pStyle w:val="ListParagraph"/>
        <w:numPr>
          <w:ilvl w:val="2"/>
          <w:numId w:val="31"/>
        </w:numPr>
        <w:rPr>
          <w:rFonts w:ascii="Source Sans Pro" w:hAnsi="Source Sans Pro"/>
          <w:sz w:val="22"/>
          <w:szCs w:val="22"/>
        </w:rPr>
      </w:pPr>
      <w:r>
        <w:rPr>
          <w:rFonts w:ascii="Source Sans Pro" w:hAnsi="Source Sans Pro"/>
          <w:sz w:val="22"/>
          <w:szCs w:val="22"/>
        </w:rPr>
        <w:t xml:space="preserve">the current </w:t>
      </w:r>
      <w:r w:rsidR="001E6595">
        <w:rPr>
          <w:rFonts w:ascii="Source Sans Pro" w:hAnsi="Source Sans Pro"/>
          <w:sz w:val="22"/>
          <w:szCs w:val="22"/>
        </w:rPr>
        <w:t>nationally determined contributions under the Paris Agreement</w:t>
      </w:r>
      <w:r>
        <w:rPr>
          <w:rFonts w:ascii="Source Sans Pro" w:hAnsi="Source Sans Pro"/>
          <w:sz w:val="22"/>
          <w:szCs w:val="22"/>
        </w:rPr>
        <w:t xml:space="preserve"> </w:t>
      </w:r>
      <w:r w:rsidR="00321088">
        <w:rPr>
          <w:rFonts w:ascii="Source Sans Pro" w:hAnsi="Source Sans Pro"/>
          <w:sz w:val="22"/>
          <w:szCs w:val="22"/>
        </w:rPr>
        <w:t xml:space="preserve">are not yet sufficient to reach the </w:t>
      </w:r>
      <w:r w:rsidR="001E6595">
        <w:rPr>
          <w:rFonts w:ascii="Source Sans Pro" w:hAnsi="Source Sans Pro"/>
          <w:sz w:val="22"/>
          <w:szCs w:val="22"/>
        </w:rPr>
        <w:t xml:space="preserve">stated </w:t>
      </w:r>
      <w:r w:rsidR="00321088">
        <w:rPr>
          <w:rFonts w:ascii="Source Sans Pro" w:hAnsi="Source Sans Pro"/>
          <w:sz w:val="22"/>
          <w:szCs w:val="22"/>
        </w:rPr>
        <w:t xml:space="preserve">temperature </w:t>
      </w:r>
      <w:r w:rsidR="002F05B6">
        <w:rPr>
          <w:rFonts w:ascii="Source Sans Pro" w:hAnsi="Source Sans Pro"/>
          <w:sz w:val="22"/>
          <w:szCs w:val="22"/>
        </w:rPr>
        <w:t xml:space="preserve"> goals</w:t>
      </w:r>
      <w:r w:rsidR="00DF06CC">
        <w:rPr>
          <w:rFonts w:ascii="Source Sans Pro" w:hAnsi="Source Sans Pro"/>
          <w:sz w:val="22"/>
          <w:szCs w:val="22"/>
        </w:rPr>
        <w:t>;</w:t>
      </w:r>
      <w:r w:rsidR="00C35046">
        <w:rPr>
          <w:rStyle w:val="FootnoteReference"/>
          <w:rFonts w:ascii="Source Sans Pro" w:hAnsi="Source Sans Pro"/>
          <w:sz w:val="22"/>
          <w:szCs w:val="22"/>
        </w:rPr>
        <w:footnoteReference w:id="45"/>
      </w:r>
      <w:r w:rsidR="00EF3489">
        <w:rPr>
          <w:rFonts w:ascii="Source Sans Pro" w:hAnsi="Source Sans Pro"/>
          <w:sz w:val="22"/>
          <w:szCs w:val="22"/>
        </w:rPr>
        <w:t xml:space="preserve"> </w:t>
      </w:r>
    </w:p>
    <w:p w14:paraId="79323663" w14:textId="5DBD7E09" w:rsidR="002F05B6" w:rsidRDefault="00EF3489" w:rsidP="002335CA">
      <w:pPr>
        <w:pStyle w:val="ListParagraph"/>
        <w:numPr>
          <w:ilvl w:val="2"/>
          <w:numId w:val="31"/>
        </w:numPr>
        <w:rPr>
          <w:rFonts w:ascii="Source Sans Pro" w:hAnsi="Source Sans Pro"/>
          <w:sz w:val="22"/>
          <w:szCs w:val="22"/>
        </w:rPr>
      </w:pPr>
      <w:r>
        <w:rPr>
          <w:rFonts w:ascii="Source Sans Pro" w:hAnsi="Source Sans Pro"/>
          <w:sz w:val="22"/>
          <w:szCs w:val="22"/>
        </w:rPr>
        <w:t xml:space="preserve">achieving the aims of the Paris Agreement would require </w:t>
      </w:r>
      <w:r w:rsidR="00491E2A">
        <w:rPr>
          <w:rFonts w:ascii="Source Sans Pro" w:hAnsi="Source Sans Pro"/>
          <w:sz w:val="22"/>
          <w:szCs w:val="22"/>
        </w:rPr>
        <w:t>further falls in global coal consumption</w:t>
      </w:r>
      <w:r w:rsidR="00B47678">
        <w:rPr>
          <w:rFonts w:ascii="Source Sans Pro" w:hAnsi="Source Sans Pro"/>
          <w:sz w:val="22"/>
          <w:szCs w:val="22"/>
        </w:rPr>
        <w:t>;</w:t>
      </w:r>
      <w:r w:rsidR="00491E2A">
        <w:rPr>
          <w:rStyle w:val="FootnoteReference"/>
          <w:rFonts w:ascii="Source Sans Pro" w:hAnsi="Source Sans Pro"/>
          <w:sz w:val="22"/>
          <w:szCs w:val="22"/>
        </w:rPr>
        <w:footnoteReference w:id="46"/>
      </w:r>
    </w:p>
    <w:p w14:paraId="6D47997C" w14:textId="3E4CC9F4" w:rsidR="006438AF" w:rsidRDefault="00DF06CC" w:rsidP="002335CA">
      <w:pPr>
        <w:pStyle w:val="ListParagraph"/>
        <w:numPr>
          <w:ilvl w:val="2"/>
          <w:numId w:val="31"/>
        </w:numPr>
        <w:rPr>
          <w:rFonts w:ascii="Source Sans Pro" w:hAnsi="Source Sans Pro"/>
          <w:sz w:val="22"/>
          <w:szCs w:val="22"/>
        </w:rPr>
      </w:pPr>
      <w:r>
        <w:rPr>
          <w:rFonts w:ascii="Source Sans Pro" w:hAnsi="Source Sans Pro"/>
          <w:sz w:val="22"/>
          <w:szCs w:val="22"/>
        </w:rPr>
        <w:t>f</w:t>
      </w:r>
      <w:r w:rsidR="006438AF">
        <w:rPr>
          <w:rFonts w:ascii="Source Sans Pro" w:hAnsi="Source Sans Pro"/>
          <w:sz w:val="22"/>
          <w:szCs w:val="22"/>
        </w:rPr>
        <w:t>u</w:t>
      </w:r>
      <w:r w:rsidR="00C36224">
        <w:rPr>
          <w:rFonts w:ascii="Source Sans Pro" w:hAnsi="Source Sans Pro"/>
          <w:sz w:val="22"/>
          <w:szCs w:val="22"/>
        </w:rPr>
        <w:t>r</w:t>
      </w:r>
      <w:r w:rsidR="006438AF">
        <w:rPr>
          <w:rFonts w:ascii="Source Sans Pro" w:hAnsi="Source Sans Pro"/>
          <w:sz w:val="22"/>
          <w:szCs w:val="22"/>
        </w:rPr>
        <w:t xml:space="preserve">ther improvement in </w:t>
      </w:r>
      <w:r w:rsidR="00C1221E">
        <w:rPr>
          <w:rFonts w:ascii="Source Sans Pro" w:hAnsi="Source Sans Pro"/>
          <w:sz w:val="22"/>
          <w:szCs w:val="22"/>
        </w:rPr>
        <w:t xml:space="preserve">global </w:t>
      </w:r>
      <w:r w:rsidR="006438AF">
        <w:rPr>
          <w:rFonts w:ascii="Source Sans Pro" w:hAnsi="Source Sans Pro"/>
          <w:sz w:val="22"/>
          <w:szCs w:val="22"/>
        </w:rPr>
        <w:t>policy settings</w:t>
      </w:r>
      <w:r>
        <w:rPr>
          <w:rFonts w:ascii="Source Sans Pro" w:hAnsi="Source Sans Pro"/>
          <w:sz w:val="22"/>
          <w:szCs w:val="22"/>
        </w:rPr>
        <w:t xml:space="preserve"> to constrain</w:t>
      </w:r>
      <w:r w:rsidR="00642EF4">
        <w:rPr>
          <w:rFonts w:ascii="Source Sans Pro" w:hAnsi="Source Sans Pro"/>
          <w:sz w:val="22"/>
          <w:szCs w:val="22"/>
        </w:rPr>
        <w:t xml:space="preserve"> emissions</w:t>
      </w:r>
      <w:r w:rsidR="006438AF">
        <w:rPr>
          <w:rFonts w:ascii="Source Sans Pro" w:hAnsi="Source Sans Pro"/>
          <w:sz w:val="22"/>
          <w:szCs w:val="22"/>
        </w:rPr>
        <w:t xml:space="preserve"> is likely</w:t>
      </w:r>
      <w:r w:rsidR="00B47678">
        <w:rPr>
          <w:rFonts w:ascii="Source Sans Pro" w:hAnsi="Source Sans Pro"/>
          <w:sz w:val="22"/>
          <w:szCs w:val="22"/>
        </w:rPr>
        <w:t>;</w:t>
      </w:r>
      <w:r w:rsidR="006438AF">
        <w:rPr>
          <w:rStyle w:val="FootnoteReference"/>
          <w:rFonts w:ascii="Source Sans Pro" w:hAnsi="Source Sans Pro"/>
          <w:sz w:val="22"/>
          <w:szCs w:val="22"/>
        </w:rPr>
        <w:footnoteReference w:id="47"/>
      </w:r>
    </w:p>
    <w:p w14:paraId="54F749B1" w14:textId="5A156204" w:rsidR="003561A6" w:rsidRDefault="007F1BD8" w:rsidP="002335CA">
      <w:pPr>
        <w:pStyle w:val="ListParagraph"/>
        <w:numPr>
          <w:ilvl w:val="2"/>
          <w:numId w:val="31"/>
        </w:numPr>
        <w:rPr>
          <w:rFonts w:ascii="Source Sans Pro" w:hAnsi="Source Sans Pro"/>
          <w:sz w:val="22"/>
          <w:szCs w:val="22"/>
        </w:rPr>
      </w:pPr>
      <w:r>
        <w:rPr>
          <w:rFonts w:ascii="Source Sans Pro" w:hAnsi="Source Sans Pro"/>
          <w:sz w:val="22"/>
          <w:szCs w:val="22"/>
        </w:rPr>
        <w:t>of the parties, only</w:t>
      </w:r>
      <w:r w:rsidR="00643527">
        <w:rPr>
          <w:rFonts w:ascii="Source Sans Pro" w:hAnsi="Source Sans Pro"/>
          <w:sz w:val="22"/>
          <w:szCs w:val="22"/>
        </w:rPr>
        <w:t xml:space="preserve"> </w:t>
      </w:r>
      <w:r w:rsidR="005C6349">
        <w:rPr>
          <w:rFonts w:ascii="Source Sans Pro" w:hAnsi="Source Sans Pro"/>
          <w:sz w:val="22"/>
          <w:szCs w:val="22"/>
        </w:rPr>
        <w:t>Waratah</w:t>
      </w:r>
      <w:r w:rsidR="004857FA">
        <w:rPr>
          <w:rFonts w:ascii="Source Sans Pro" w:hAnsi="Source Sans Pro"/>
          <w:sz w:val="22"/>
          <w:szCs w:val="22"/>
        </w:rPr>
        <w:t xml:space="preserve"> proposed </w:t>
      </w:r>
      <w:r w:rsidR="00973F81">
        <w:rPr>
          <w:rFonts w:ascii="Source Sans Pro" w:hAnsi="Source Sans Pro"/>
          <w:sz w:val="22"/>
          <w:szCs w:val="22"/>
        </w:rPr>
        <w:t xml:space="preserve">to predict the future </w:t>
      </w:r>
      <w:r w:rsidR="00A01E82">
        <w:rPr>
          <w:rFonts w:ascii="Source Sans Pro" w:hAnsi="Source Sans Pro"/>
          <w:sz w:val="22"/>
          <w:szCs w:val="22"/>
        </w:rPr>
        <w:t xml:space="preserve">demand for coal using a </w:t>
      </w:r>
      <w:r w:rsidR="00AE1B32">
        <w:rPr>
          <w:rFonts w:ascii="Source Sans Pro" w:hAnsi="Source Sans Pro"/>
          <w:sz w:val="22"/>
          <w:szCs w:val="22"/>
        </w:rPr>
        <w:t>proprietary model from Wood</w:t>
      </w:r>
      <w:r w:rsidR="00C463F7">
        <w:rPr>
          <w:rFonts w:ascii="Source Sans Pro" w:hAnsi="Source Sans Pro"/>
          <w:sz w:val="22"/>
          <w:szCs w:val="22"/>
        </w:rPr>
        <w:t xml:space="preserve"> </w:t>
      </w:r>
      <w:r w:rsidR="00AE1B32">
        <w:rPr>
          <w:rFonts w:ascii="Source Sans Pro" w:hAnsi="Source Sans Pro"/>
          <w:sz w:val="22"/>
          <w:szCs w:val="22"/>
        </w:rPr>
        <w:t>Mackenzie</w:t>
      </w:r>
      <w:r w:rsidR="006812B9">
        <w:rPr>
          <w:rStyle w:val="FootnoteReference"/>
          <w:rFonts w:ascii="Source Sans Pro" w:hAnsi="Source Sans Pro"/>
          <w:sz w:val="22"/>
          <w:szCs w:val="22"/>
        </w:rPr>
        <w:footnoteReference w:id="48"/>
      </w:r>
      <w:r w:rsidR="00AE1B32">
        <w:rPr>
          <w:rFonts w:ascii="Source Sans Pro" w:hAnsi="Source Sans Pro"/>
          <w:sz w:val="22"/>
          <w:szCs w:val="22"/>
        </w:rPr>
        <w:t xml:space="preserve"> but</w:t>
      </w:r>
      <w:r w:rsidR="00736AFE">
        <w:rPr>
          <w:rFonts w:ascii="Source Sans Pro" w:hAnsi="Source Sans Pro"/>
          <w:sz w:val="22"/>
          <w:szCs w:val="22"/>
        </w:rPr>
        <w:t>,</w:t>
      </w:r>
      <w:r w:rsidR="00C471D1">
        <w:rPr>
          <w:rFonts w:ascii="Source Sans Pro" w:hAnsi="Source Sans Pro"/>
          <w:sz w:val="22"/>
          <w:szCs w:val="22"/>
        </w:rPr>
        <w:t xml:space="preserve"> as Wood Mackenzie had consistently downgraded its</w:t>
      </w:r>
      <w:r w:rsidR="00E0693F">
        <w:rPr>
          <w:rFonts w:ascii="Source Sans Pro" w:hAnsi="Source Sans Pro"/>
          <w:sz w:val="22"/>
          <w:szCs w:val="22"/>
        </w:rPr>
        <w:t xml:space="preserve"> coal demand</w:t>
      </w:r>
      <w:r w:rsidR="00C471D1">
        <w:rPr>
          <w:rFonts w:ascii="Source Sans Pro" w:hAnsi="Source Sans Pro"/>
          <w:sz w:val="22"/>
          <w:szCs w:val="22"/>
        </w:rPr>
        <w:t xml:space="preserve"> projections over time</w:t>
      </w:r>
      <w:r w:rsidR="00736AFE">
        <w:rPr>
          <w:rFonts w:ascii="Source Sans Pro" w:hAnsi="Source Sans Pro"/>
          <w:sz w:val="22"/>
          <w:szCs w:val="22"/>
        </w:rPr>
        <w:t xml:space="preserve">, the Court had little confidence in the </w:t>
      </w:r>
      <w:r w:rsidR="00374113">
        <w:rPr>
          <w:rFonts w:ascii="Source Sans Pro" w:hAnsi="Source Sans Pro"/>
          <w:sz w:val="22"/>
          <w:szCs w:val="22"/>
        </w:rPr>
        <w:t>reliability</w:t>
      </w:r>
      <w:r w:rsidR="00EA4E14">
        <w:rPr>
          <w:rFonts w:ascii="Source Sans Pro" w:hAnsi="Source Sans Pro"/>
          <w:sz w:val="22"/>
          <w:szCs w:val="22"/>
        </w:rPr>
        <w:t xml:space="preserve"> of </w:t>
      </w:r>
      <w:r w:rsidR="009D1C53">
        <w:rPr>
          <w:rFonts w:ascii="Source Sans Pro" w:hAnsi="Source Sans Pro"/>
          <w:sz w:val="22"/>
          <w:szCs w:val="22"/>
        </w:rPr>
        <w:t>Wood Mackenzie predictions</w:t>
      </w:r>
      <w:r w:rsidR="00975695">
        <w:rPr>
          <w:rFonts w:ascii="Source Sans Pro" w:hAnsi="Source Sans Pro"/>
          <w:sz w:val="22"/>
          <w:szCs w:val="22"/>
        </w:rPr>
        <w:t>.</w:t>
      </w:r>
      <w:r w:rsidR="002E0FA7">
        <w:rPr>
          <w:rStyle w:val="FootnoteReference"/>
          <w:rFonts w:ascii="Source Sans Pro" w:hAnsi="Source Sans Pro"/>
          <w:sz w:val="22"/>
          <w:szCs w:val="22"/>
        </w:rPr>
        <w:footnoteReference w:id="49"/>
      </w:r>
      <w:r w:rsidR="009D1C53">
        <w:rPr>
          <w:rFonts w:ascii="Source Sans Pro" w:hAnsi="Source Sans Pro"/>
          <w:sz w:val="22"/>
          <w:szCs w:val="22"/>
        </w:rPr>
        <w:t xml:space="preserve"> </w:t>
      </w:r>
      <w:r w:rsidR="000E247D">
        <w:rPr>
          <w:rFonts w:ascii="Source Sans Pro" w:hAnsi="Source Sans Pro"/>
          <w:sz w:val="22"/>
          <w:szCs w:val="22"/>
        </w:rPr>
        <w:t>Rather</w:t>
      </w:r>
      <w:r w:rsidR="00F50282">
        <w:rPr>
          <w:rFonts w:ascii="Source Sans Pro" w:hAnsi="Source Sans Pro"/>
          <w:sz w:val="22"/>
          <w:szCs w:val="22"/>
        </w:rPr>
        <w:t>,</w:t>
      </w:r>
      <w:r w:rsidR="00736AFE">
        <w:rPr>
          <w:rFonts w:ascii="Source Sans Pro" w:hAnsi="Source Sans Pro"/>
          <w:sz w:val="22"/>
          <w:szCs w:val="22"/>
        </w:rPr>
        <w:t xml:space="preserve"> </w:t>
      </w:r>
      <w:r w:rsidR="00C9079A">
        <w:rPr>
          <w:rFonts w:ascii="Source Sans Pro" w:hAnsi="Source Sans Pro"/>
          <w:sz w:val="22"/>
          <w:szCs w:val="22"/>
        </w:rPr>
        <w:t xml:space="preserve">the court found that </w:t>
      </w:r>
      <w:r w:rsidR="00473D20">
        <w:rPr>
          <w:rFonts w:ascii="Source Sans Pro" w:hAnsi="Source Sans Pro"/>
          <w:sz w:val="22"/>
          <w:szCs w:val="22"/>
        </w:rPr>
        <w:t xml:space="preserve">Wood Mackenzie predictions were just another </w:t>
      </w:r>
      <w:r w:rsidR="008E70A4">
        <w:rPr>
          <w:rFonts w:ascii="Source Sans Pro" w:hAnsi="Source Sans Pro"/>
          <w:sz w:val="22"/>
          <w:szCs w:val="22"/>
        </w:rPr>
        <w:t>scenario about a potential future</w:t>
      </w:r>
      <w:r w:rsidR="000E5420">
        <w:rPr>
          <w:rFonts w:ascii="Source Sans Pro" w:hAnsi="Source Sans Pro"/>
          <w:sz w:val="22"/>
          <w:szCs w:val="22"/>
        </w:rPr>
        <w:t>,</w:t>
      </w:r>
      <w:r w:rsidR="000E5420">
        <w:rPr>
          <w:rStyle w:val="FootnoteReference"/>
          <w:rFonts w:ascii="Source Sans Pro" w:hAnsi="Source Sans Pro"/>
          <w:sz w:val="22"/>
          <w:szCs w:val="22"/>
        </w:rPr>
        <w:footnoteReference w:id="50"/>
      </w:r>
    </w:p>
    <w:p w14:paraId="6FD6FCB9" w14:textId="73DFF865" w:rsidR="00A77A3C" w:rsidRDefault="00885C32" w:rsidP="002335CA">
      <w:pPr>
        <w:pStyle w:val="ListParagraph"/>
        <w:numPr>
          <w:ilvl w:val="2"/>
          <w:numId w:val="31"/>
        </w:numPr>
        <w:rPr>
          <w:rFonts w:ascii="Source Sans Pro" w:hAnsi="Source Sans Pro"/>
          <w:sz w:val="22"/>
          <w:szCs w:val="22"/>
        </w:rPr>
      </w:pPr>
      <w:r>
        <w:rPr>
          <w:rFonts w:ascii="Source Sans Pro" w:hAnsi="Source Sans Pro"/>
          <w:sz w:val="22"/>
          <w:szCs w:val="22"/>
        </w:rPr>
        <w:t>c</w:t>
      </w:r>
      <w:r w:rsidR="00950490">
        <w:rPr>
          <w:rFonts w:ascii="Source Sans Pro" w:hAnsi="Source Sans Pro"/>
          <w:sz w:val="22"/>
          <w:szCs w:val="22"/>
        </w:rPr>
        <w:t>onsidering</w:t>
      </w:r>
      <w:r w:rsidR="00993979">
        <w:rPr>
          <w:rFonts w:ascii="Source Sans Pro" w:hAnsi="Source Sans Pro"/>
          <w:sz w:val="22"/>
          <w:szCs w:val="22"/>
        </w:rPr>
        <w:t xml:space="preserve"> the Wood Mackenzie scenarios together with those of the International Energy Agency and the Intergovernmental Panel on Climate Change</w:t>
      </w:r>
      <w:r w:rsidR="002903B2">
        <w:rPr>
          <w:rFonts w:ascii="Source Sans Pro" w:hAnsi="Source Sans Pro"/>
          <w:sz w:val="22"/>
          <w:szCs w:val="22"/>
        </w:rPr>
        <w:t>, the court found that the future scenarios which included sufficient demand for coal</w:t>
      </w:r>
      <w:r w:rsidR="00D45416">
        <w:rPr>
          <w:rFonts w:ascii="Source Sans Pro" w:hAnsi="Source Sans Pro"/>
          <w:sz w:val="22"/>
          <w:szCs w:val="22"/>
        </w:rPr>
        <w:t xml:space="preserve"> </w:t>
      </w:r>
      <w:r w:rsidR="00075F5F">
        <w:rPr>
          <w:rFonts w:ascii="Source Sans Pro" w:hAnsi="Source Sans Pro"/>
          <w:sz w:val="22"/>
          <w:szCs w:val="22"/>
        </w:rPr>
        <w:t>to sustain the viability</w:t>
      </w:r>
      <w:r w:rsidR="00B955F6">
        <w:rPr>
          <w:rFonts w:ascii="Source Sans Pro" w:hAnsi="Source Sans Pro"/>
          <w:sz w:val="22"/>
          <w:szCs w:val="22"/>
        </w:rPr>
        <w:t xml:space="preserve"> of the Project </w:t>
      </w:r>
      <w:r w:rsidR="0073689B">
        <w:rPr>
          <w:rFonts w:ascii="Source Sans Pro" w:hAnsi="Source Sans Pro"/>
          <w:sz w:val="22"/>
          <w:szCs w:val="22"/>
        </w:rPr>
        <w:t>were s</w:t>
      </w:r>
      <w:r w:rsidR="007275DE">
        <w:rPr>
          <w:rFonts w:ascii="Source Sans Pro" w:hAnsi="Source Sans Pro"/>
          <w:sz w:val="22"/>
          <w:szCs w:val="22"/>
        </w:rPr>
        <w:t>cenarios</w:t>
      </w:r>
      <w:r w:rsidR="00996135">
        <w:rPr>
          <w:rFonts w:ascii="Source Sans Pro" w:hAnsi="Source Sans Pro"/>
          <w:sz w:val="22"/>
          <w:szCs w:val="22"/>
        </w:rPr>
        <w:t xml:space="preserve"> </w:t>
      </w:r>
      <w:r w:rsidR="009A0118">
        <w:rPr>
          <w:rFonts w:ascii="Source Sans Pro" w:hAnsi="Source Sans Pro"/>
          <w:sz w:val="22"/>
          <w:szCs w:val="22"/>
        </w:rPr>
        <w:t>where the world</w:t>
      </w:r>
      <w:r w:rsidR="00EF5392">
        <w:rPr>
          <w:rFonts w:ascii="Source Sans Pro" w:hAnsi="Source Sans Pro"/>
          <w:sz w:val="22"/>
          <w:szCs w:val="22"/>
        </w:rPr>
        <w:t xml:space="preserve"> exceeded the temperature goals </w:t>
      </w:r>
      <w:r w:rsidR="0015776F">
        <w:rPr>
          <w:rFonts w:ascii="Source Sans Pro" w:hAnsi="Source Sans Pro"/>
          <w:sz w:val="22"/>
          <w:szCs w:val="22"/>
        </w:rPr>
        <w:t>of the Paris Agreement.</w:t>
      </w:r>
      <w:r w:rsidR="00894C7B">
        <w:rPr>
          <w:rStyle w:val="FootnoteReference"/>
          <w:rFonts w:ascii="Source Sans Pro" w:hAnsi="Source Sans Pro"/>
          <w:sz w:val="22"/>
          <w:szCs w:val="22"/>
        </w:rPr>
        <w:footnoteReference w:id="51"/>
      </w:r>
      <w:r w:rsidR="0015776F">
        <w:rPr>
          <w:rFonts w:ascii="Source Sans Pro" w:hAnsi="Source Sans Pro"/>
          <w:sz w:val="22"/>
          <w:szCs w:val="22"/>
        </w:rPr>
        <w:t xml:space="preserve">  </w:t>
      </w:r>
      <w:r w:rsidR="004A2750">
        <w:rPr>
          <w:rFonts w:ascii="Source Sans Pro" w:hAnsi="Source Sans Pro"/>
          <w:sz w:val="22"/>
          <w:szCs w:val="22"/>
        </w:rPr>
        <w:t>In other words, a possible future</w:t>
      </w:r>
      <w:r w:rsidR="00E26B6B">
        <w:rPr>
          <w:rFonts w:ascii="Source Sans Pro" w:hAnsi="Source Sans Pro"/>
          <w:sz w:val="22"/>
          <w:szCs w:val="22"/>
        </w:rPr>
        <w:t xml:space="preserve"> where the world achieved the stated aims of the Paris Agreement </w:t>
      </w:r>
      <w:r w:rsidR="00CA47F7">
        <w:rPr>
          <w:rFonts w:ascii="Source Sans Pro" w:hAnsi="Source Sans Pro"/>
          <w:sz w:val="22"/>
          <w:szCs w:val="22"/>
        </w:rPr>
        <w:t xml:space="preserve">is one in which there is not </w:t>
      </w:r>
      <w:r w:rsidR="00AF5DB8">
        <w:rPr>
          <w:rFonts w:ascii="Source Sans Pro" w:hAnsi="Source Sans Pro"/>
          <w:sz w:val="22"/>
          <w:szCs w:val="22"/>
        </w:rPr>
        <w:t>sufficient demand for the Project</w:t>
      </w:r>
      <w:r w:rsidR="00CA47F7">
        <w:rPr>
          <w:rFonts w:ascii="Source Sans Pro" w:hAnsi="Source Sans Pro"/>
          <w:sz w:val="22"/>
          <w:szCs w:val="22"/>
        </w:rPr>
        <w:t xml:space="preserve"> to be viable</w:t>
      </w:r>
      <w:r w:rsidR="005C6A6E">
        <w:rPr>
          <w:rFonts w:ascii="Source Sans Pro" w:hAnsi="Source Sans Pro"/>
          <w:sz w:val="22"/>
          <w:szCs w:val="22"/>
        </w:rPr>
        <w:t>.</w:t>
      </w:r>
      <w:r w:rsidR="00C618F6">
        <w:rPr>
          <w:rFonts w:ascii="Source Sans Pro" w:hAnsi="Source Sans Pro"/>
          <w:sz w:val="22"/>
          <w:szCs w:val="22"/>
        </w:rPr>
        <w:t xml:space="preserve"> </w:t>
      </w:r>
    </w:p>
    <w:p w14:paraId="5EF987E9" w14:textId="19580B2F" w:rsidR="00F34FAB" w:rsidRDefault="00DD648E" w:rsidP="002335CA">
      <w:pPr>
        <w:pStyle w:val="ListParagraph"/>
        <w:numPr>
          <w:ilvl w:val="2"/>
          <w:numId w:val="31"/>
        </w:numPr>
        <w:rPr>
          <w:rFonts w:ascii="Source Sans Pro" w:hAnsi="Source Sans Pro"/>
          <w:sz w:val="22"/>
          <w:szCs w:val="22"/>
        </w:rPr>
      </w:pPr>
      <w:r>
        <w:rPr>
          <w:rFonts w:ascii="Source Sans Pro" w:hAnsi="Source Sans Pro"/>
          <w:sz w:val="22"/>
          <w:szCs w:val="22"/>
        </w:rPr>
        <w:t xml:space="preserve">Considering the </w:t>
      </w:r>
      <w:r w:rsidR="006E0ECC">
        <w:rPr>
          <w:rFonts w:ascii="Source Sans Pro" w:hAnsi="Source Sans Pro"/>
          <w:sz w:val="22"/>
          <w:szCs w:val="22"/>
        </w:rPr>
        <w:t xml:space="preserve">detailed assessment of numerous variables </w:t>
      </w:r>
      <w:r w:rsidR="00C1577D">
        <w:rPr>
          <w:rFonts w:ascii="Source Sans Pro" w:hAnsi="Source Sans Pro"/>
          <w:sz w:val="22"/>
          <w:szCs w:val="22"/>
        </w:rPr>
        <w:t>which would be required to determine the precise degree of any market substitution</w:t>
      </w:r>
      <w:r w:rsidR="002F0475">
        <w:rPr>
          <w:rFonts w:ascii="Source Sans Pro" w:hAnsi="Source Sans Pro"/>
          <w:sz w:val="22"/>
          <w:szCs w:val="22"/>
        </w:rPr>
        <w:t>,</w:t>
      </w:r>
      <w:r w:rsidR="000973E7">
        <w:rPr>
          <w:rFonts w:ascii="Source Sans Pro" w:hAnsi="Source Sans Pro"/>
          <w:sz w:val="22"/>
          <w:szCs w:val="22"/>
        </w:rPr>
        <w:t xml:space="preserve"> the Court </w:t>
      </w:r>
      <w:r w:rsidR="002F0475">
        <w:rPr>
          <w:rFonts w:ascii="Source Sans Pro" w:hAnsi="Source Sans Pro"/>
          <w:sz w:val="22"/>
          <w:szCs w:val="22"/>
        </w:rPr>
        <w:t xml:space="preserve">could not </w:t>
      </w:r>
      <w:r w:rsidR="000973E7">
        <w:rPr>
          <w:rFonts w:ascii="Source Sans Pro" w:hAnsi="Source Sans Pro"/>
          <w:sz w:val="22"/>
          <w:szCs w:val="22"/>
        </w:rPr>
        <w:t xml:space="preserve">make a finding </w:t>
      </w:r>
      <w:r w:rsidR="00F22DD3">
        <w:rPr>
          <w:rFonts w:ascii="Source Sans Pro" w:hAnsi="Source Sans Pro"/>
          <w:sz w:val="22"/>
          <w:szCs w:val="22"/>
        </w:rPr>
        <w:t xml:space="preserve">on substitution </w:t>
      </w:r>
      <w:r w:rsidR="000973E7">
        <w:rPr>
          <w:rFonts w:ascii="Source Sans Pro" w:hAnsi="Source Sans Pro"/>
          <w:sz w:val="22"/>
          <w:szCs w:val="22"/>
        </w:rPr>
        <w:t>with any certainty on the evidence</w:t>
      </w:r>
      <w:r w:rsidR="00F22DD3">
        <w:rPr>
          <w:rFonts w:ascii="Source Sans Pro" w:hAnsi="Source Sans Pro"/>
          <w:sz w:val="22"/>
          <w:szCs w:val="22"/>
        </w:rPr>
        <w:t xml:space="preserve"> before it</w:t>
      </w:r>
      <w:r w:rsidR="00CF72A4">
        <w:rPr>
          <w:rStyle w:val="FootnoteReference"/>
          <w:rFonts w:ascii="Source Sans Pro" w:hAnsi="Source Sans Pro"/>
          <w:sz w:val="22"/>
          <w:szCs w:val="22"/>
        </w:rPr>
        <w:footnoteReference w:id="52"/>
      </w:r>
      <w:r w:rsidR="00D27D3A">
        <w:rPr>
          <w:rFonts w:ascii="Source Sans Pro" w:hAnsi="Source Sans Pro"/>
          <w:sz w:val="22"/>
          <w:szCs w:val="22"/>
        </w:rPr>
        <w:t xml:space="preserve"> </w:t>
      </w:r>
      <w:r w:rsidR="00F54AB3">
        <w:rPr>
          <w:rFonts w:ascii="Source Sans Pro" w:hAnsi="Source Sans Pro"/>
          <w:sz w:val="22"/>
          <w:szCs w:val="22"/>
        </w:rPr>
        <w:t>expect</w:t>
      </w:r>
      <w:r w:rsidR="00AD5AC4">
        <w:rPr>
          <w:rFonts w:ascii="Source Sans Pro" w:hAnsi="Source Sans Pro"/>
          <w:sz w:val="22"/>
          <w:szCs w:val="22"/>
        </w:rPr>
        <w:t xml:space="preserve"> that </w:t>
      </w:r>
      <w:r w:rsidR="00D27D3A">
        <w:rPr>
          <w:rFonts w:ascii="Source Sans Pro" w:hAnsi="Source Sans Pro"/>
          <w:sz w:val="22"/>
          <w:szCs w:val="22"/>
        </w:rPr>
        <w:t xml:space="preserve">some substitution is possible but </w:t>
      </w:r>
      <w:r w:rsidR="00AD5AC4">
        <w:rPr>
          <w:rFonts w:ascii="Source Sans Pro" w:hAnsi="Source Sans Pro"/>
          <w:sz w:val="22"/>
          <w:szCs w:val="22"/>
        </w:rPr>
        <w:t>per</w:t>
      </w:r>
      <w:r w:rsidR="00870F0F">
        <w:rPr>
          <w:rFonts w:ascii="Source Sans Pro" w:hAnsi="Source Sans Pro"/>
          <w:sz w:val="22"/>
          <w:szCs w:val="22"/>
        </w:rPr>
        <w:t>fect substitution is not likely</w:t>
      </w:r>
      <w:r w:rsidR="00D27D3A">
        <w:rPr>
          <w:rFonts w:ascii="Source Sans Pro" w:hAnsi="Source Sans Pro"/>
          <w:sz w:val="22"/>
          <w:szCs w:val="22"/>
        </w:rPr>
        <w:t>.</w:t>
      </w:r>
      <w:r w:rsidR="00F54AB3" w:rsidRPr="00F54AB3">
        <w:rPr>
          <w:rStyle w:val="FootnoteReference"/>
          <w:rFonts w:ascii="Source Sans Pro" w:hAnsi="Source Sans Pro"/>
          <w:sz w:val="22"/>
          <w:szCs w:val="22"/>
        </w:rPr>
        <w:t xml:space="preserve"> </w:t>
      </w:r>
      <w:r w:rsidR="00F54AB3">
        <w:rPr>
          <w:rStyle w:val="FootnoteReference"/>
          <w:rFonts w:ascii="Source Sans Pro" w:hAnsi="Source Sans Pro"/>
          <w:sz w:val="22"/>
          <w:szCs w:val="22"/>
        </w:rPr>
        <w:footnoteReference w:id="53"/>
      </w:r>
    </w:p>
    <w:p w14:paraId="155148DB" w14:textId="0EE8FF5E" w:rsidR="004A5D51" w:rsidRDefault="005C1515" w:rsidP="00196E9A">
      <w:pPr>
        <w:pStyle w:val="ListParagraph"/>
        <w:rPr>
          <w:rFonts w:ascii="Source Sans Pro" w:hAnsi="Source Sans Pro"/>
          <w:sz w:val="22"/>
          <w:szCs w:val="22"/>
        </w:rPr>
      </w:pPr>
      <w:r>
        <w:rPr>
          <w:rFonts w:ascii="Source Sans Pro" w:hAnsi="Source Sans Pro"/>
          <w:sz w:val="22"/>
          <w:szCs w:val="22"/>
        </w:rPr>
        <w:t>Accordingly</w:t>
      </w:r>
      <w:r w:rsidR="00D33657">
        <w:rPr>
          <w:rFonts w:ascii="Source Sans Pro" w:hAnsi="Source Sans Pro"/>
          <w:sz w:val="22"/>
          <w:szCs w:val="22"/>
        </w:rPr>
        <w:t>,</w:t>
      </w:r>
      <w:r>
        <w:rPr>
          <w:rFonts w:ascii="Source Sans Pro" w:hAnsi="Source Sans Pro"/>
          <w:sz w:val="22"/>
          <w:szCs w:val="22"/>
        </w:rPr>
        <w:t xml:space="preserve"> the Court </w:t>
      </w:r>
      <w:r w:rsidR="00D33657">
        <w:rPr>
          <w:rFonts w:ascii="Source Sans Pro" w:hAnsi="Source Sans Pro"/>
          <w:sz w:val="22"/>
          <w:szCs w:val="22"/>
        </w:rPr>
        <w:t xml:space="preserve">rejected the argument that approval of the Project would make no difference to emissions, and instead </w:t>
      </w:r>
      <w:r>
        <w:rPr>
          <w:rFonts w:ascii="Source Sans Pro" w:hAnsi="Source Sans Pro"/>
          <w:sz w:val="22"/>
          <w:szCs w:val="22"/>
        </w:rPr>
        <w:t>had regard to the Project</w:t>
      </w:r>
      <w:r w:rsidR="00D33657">
        <w:rPr>
          <w:rFonts w:ascii="Source Sans Pro" w:hAnsi="Source Sans Pro"/>
          <w:sz w:val="22"/>
          <w:szCs w:val="22"/>
        </w:rPr>
        <w:t>’</w:t>
      </w:r>
      <w:r>
        <w:rPr>
          <w:rFonts w:ascii="Source Sans Pro" w:hAnsi="Source Sans Pro"/>
          <w:sz w:val="22"/>
          <w:szCs w:val="22"/>
        </w:rPr>
        <w:t>s material contribution to the impacts of climate change in Queensland.</w:t>
      </w:r>
      <w:r w:rsidR="008C0074">
        <w:rPr>
          <w:rStyle w:val="FootnoteReference"/>
          <w:rFonts w:ascii="Source Sans Pro" w:hAnsi="Source Sans Pro"/>
          <w:sz w:val="22"/>
          <w:szCs w:val="22"/>
        </w:rPr>
        <w:footnoteReference w:id="54"/>
      </w:r>
    </w:p>
    <w:p w14:paraId="1C9DDE9D" w14:textId="50D35A1F" w:rsidR="00EA5AC2" w:rsidRDefault="00EA5AC2" w:rsidP="0000308C">
      <w:pPr>
        <w:pStyle w:val="ListParagraph"/>
        <w:rPr>
          <w:rFonts w:ascii="Source Sans Pro" w:hAnsi="Source Sans Pro"/>
          <w:sz w:val="22"/>
          <w:szCs w:val="22"/>
        </w:rPr>
      </w:pPr>
      <w:r>
        <w:rPr>
          <w:rFonts w:ascii="Source Sans Pro" w:hAnsi="Source Sans Pro"/>
          <w:sz w:val="22"/>
          <w:szCs w:val="22"/>
        </w:rPr>
        <w:tab/>
      </w:r>
    </w:p>
    <w:p w14:paraId="7CF4E1D4" w14:textId="0B92D9DA" w:rsidR="00705BC7" w:rsidRDefault="00EA5AC2" w:rsidP="00705BC7">
      <w:pPr>
        <w:pStyle w:val="ListParagraph"/>
        <w:numPr>
          <w:ilvl w:val="0"/>
          <w:numId w:val="31"/>
        </w:numPr>
        <w:rPr>
          <w:rFonts w:ascii="Source Sans Pro" w:hAnsi="Source Sans Pro"/>
          <w:sz w:val="22"/>
          <w:szCs w:val="22"/>
        </w:rPr>
      </w:pPr>
      <w:r w:rsidRPr="0000308C">
        <w:rPr>
          <w:rFonts w:ascii="Source Sans Pro" w:hAnsi="Source Sans Pro"/>
          <w:b/>
          <w:bCs/>
          <w:sz w:val="22"/>
          <w:szCs w:val="22"/>
        </w:rPr>
        <w:lastRenderedPageBreak/>
        <w:t>Social costs of carbon</w:t>
      </w:r>
      <w:r w:rsidRPr="00705BC7">
        <w:rPr>
          <w:rFonts w:ascii="Source Sans Pro" w:hAnsi="Source Sans Pro"/>
          <w:sz w:val="22"/>
          <w:szCs w:val="22"/>
        </w:rPr>
        <w:t>:</w:t>
      </w:r>
      <w:r w:rsidR="004815FE" w:rsidRPr="00705BC7">
        <w:rPr>
          <w:rFonts w:ascii="Source Sans Pro" w:hAnsi="Source Sans Pro"/>
          <w:sz w:val="22"/>
          <w:szCs w:val="22"/>
        </w:rPr>
        <w:t xml:space="preserve">  The court considered the range of estimates </w:t>
      </w:r>
      <w:r w:rsidR="0090455B" w:rsidRPr="00705BC7">
        <w:rPr>
          <w:rFonts w:ascii="Source Sans Pro" w:hAnsi="Source Sans Pro"/>
          <w:sz w:val="22"/>
          <w:szCs w:val="22"/>
        </w:rPr>
        <w:t>available</w:t>
      </w:r>
      <w:r w:rsidR="004815FE" w:rsidRPr="00705BC7">
        <w:rPr>
          <w:rFonts w:ascii="Source Sans Pro" w:hAnsi="Source Sans Pro"/>
          <w:sz w:val="22"/>
          <w:szCs w:val="22"/>
        </w:rPr>
        <w:t xml:space="preserve"> for social costs of </w:t>
      </w:r>
      <w:r w:rsidR="00A91F45" w:rsidRPr="00705BC7">
        <w:rPr>
          <w:rFonts w:ascii="Source Sans Pro" w:hAnsi="Source Sans Pro"/>
          <w:sz w:val="22"/>
          <w:szCs w:val="22"/>
        </w:rPr>
        <w:t>greenhouse</w:t>
      </w:r>
      <w:r w:rsidR="003368FD" w:rsidRPr="00705BC7">
        <w:rPr>
          <w:rFonts w:ascii="Source Sans Pro" w:hAnsi="Source Sans Pro"/>
          <w:sz w:val="22"/>
          <w:szCs w:val="22"/>
        </w:rPr>
        <w:t xml:space="preserve"> gas emissions</w:t>
      </w:r>
      <w:r w:rsidR="00AF3420" w:rsidRPr="00705BC7">
        <w:rPr>
          <w:rFonts w:ascii="Source Sans Pro" w:hAnsi="Source Sans Pro"/>
          <w:sz w:val="22"/>
          <w:szCs w:val="22"/>
        </w:rPr>
        <w:t xml:space="preserve"> and considered the lowest value that could be justified in the Cost Benefit Analysis was $120/tonne that was likely an underestimate of the actual costs of greenhouse gas emissions.</w:t>
      </w:r>
      <w:r w:rsidR="0090455B">
        <w:rPr>
          <w:rStyle w:val="FootnoteReference"/>
          <w:rFonts w:ascii="Source Sans Pro" w:hAnsi="Source Sans Pro"/>
          <w:sz w:val="22"/>
          <w:szCs w:val="22"/>
        </w:rPr>
        <w:footnoteReference w:id="55"/>
      </w:r>
    </w:p>
    <w:p w14:paraId="1BBC4060" w14:textId="77777777" w:rsidR="00157295" w:rsidRDefault="00157295" w:rsidP="00157295">
      <w:pPr>
        <w:pStyle w:val="ListParagraph"/>
        <w:ind w:left="360"/>
        <w:rPr>
          <w:rFonts w:ascii="Source Sans Pro" w:hAnsi="Source Sans Pro"/>
          <w:sz w:val="22"/>
          <w:szCs w:val="22"/>
        </w:rPr>
      </w:pPr>
    </w:p>
    <w:p w14:paraId="5C4531DD" w14:textId="1FFE593D" w:rsidR="00705BC7" w:rsidRPr="00157295" w:rsidRDefault="00705BC7" w:rsidP="00705BC7">
      <w:pPr>
        <w:pStyle w:val="ListParagraph"/>
        <w:numPr>
          <w:ilvl w:val="0"/>
          <w:numId w:val="31"/>
        </w:numPr>
        <w:rPr>
          <w:rFonts w:ascii="Source Sans Pro" w:hAnsi="Source Sans Pro"/>
          <w:sz w:val="22"/>
          <w:szCs w:val="22"/>
        </w:rPr>
      </w:pPr>
      <w:r w:rsidRPr="0000308C">
        <w:rPr>
          <w:rFonts w:ascii="Source Sans Pro" w:hAnsi="Source Sans Pro"/>
          <w:b/>
          <w:bCs/>
          <w:sz w:val="22"/>
          <w:szCs w:val="22"/>
        </w:rPr>
        <w:t>Discount rate</w:t>
      </w:r>
      <w:r>
        <w:rPr>
          <w:rFonts w:ascii="Source Sans Pro" w:hAnsi="Source Sans Pro"/>
          <w:sz w:val="22"/>
          <w:szCs w:val="22"/>
        </w:rPr>
        <w:t xml:space="preserve"> </w:t>
      </w:r>
      <w:r w:rsidRPr="0000308C">
        <w:rPr>
          <w:rFonts w:ascii="Source Sans Pro" w:hAnsi="Source Sans Pro"/>
          <w:b/>
          <w:bCs/>
          <w:sz w:val="22"/>
          <w:szCs w:val="22"/>
        </w:rPr>
        <w:t>and future generations</w:t>
      </w:r>
      <w:r>
        <w:rPr>
          <w:rFonts w:ascii="Source Sans Pro" w:hAnsi="Source Sans Pro"/>
          <w:sz w:val="22"/>
          <w:szCs w:val="22"/>
        </w:rPr>
        <w:t>:</w:t>
      </w:r>
      <w:r w:rsidR="00855556">
        <w:rPr>
          <w:rFonts w:ascii="Source Sans Pro" w:hAnsi="Source Sans Pro"/>
          <w:sz w:val="22"/>
          <w:szCs w:val="22"/>
        </w:rPr>
        <w:t xml:space="preserve"> </w:t>
      </w:r>
      <w:r w:rsidR="00C20BBE">
        <w:rPr>
          <w:sz w:val="23"/>
          <w:szCs w:val="23"/>
        </w:rPr>
        <w:t>The active parties agreed</w:t>
      </w:r>
      <w:r w:rsidR="001D544D">
        <w:rPr>
          <w:sz w:val="23"/>
          <w:szCs w:val="23"/>
        </w:rPr>
        <w:t xml:space="preserve"> that</w:t>
      </w:r>
      <w:r w:rsidR="00C20BBE">
        <w:rPr>
          <w:sz w:val="23"/>
          <w:szCs w:val="23"/>
        </w:rPr>
        <w:t xml:space="preserve"> the adverse impacts of climate change will disproportionately affect children who are living now and are born in future, at an ever-increasing level into the future.</w:t>
      </w:r>
      <w:r w:rsidR="001D544D">
        <w:rPr>
          <w:rStyle w:val="FootnoteReference"/>
          <w:sz w:val="23"/>
          <w:szCs w:val="23"/>
        </w:rPr>
        <w:footnoteReference w:id="56"/>
      </w:r>
      <w:r w:rsidR="00C20BBE">
        <w:rPr>
          <w:sz w:val="23"/>
          <w:szCs w:val="23"/>
        </w:rPr>
        <w:t xml:space="preserve"> </w:t>
      </w:r>
      <w:r w:rsidR="00855556">
        <w:rPr>
          <w:rFonts w:ascii="Source Sans Pro" w:hAnsi="Source Sans Pro"/>
          <w:sz w:val="22"/>
          <w:szCs w:val="22"/>
        </w:rPr>
        <w:t>The economist for Waratah accepted</w:t>
      </w:r>
      <w:r w:rsidR="009C295D">
        <w:rPr>
          <w:rFonts w:ascii="Source Sans Pro" w:hAnsi="Source Sans Pro"/>
          <w:sz w:val="22"/>
          <w:szCs w:val="22"/>
        </w:rPr>
        <w:t xml:space="preserve"> that when </w:t>
      </w:r>
      <w:r w:rsidR="00296BA7">
        <w:rPr>
          <w:sz w:val="23"/>
          <w:szCs w:val="23"/>
        </w:rPr>
        <w:t>trying to apply equity between generations there is a good case not to discount the harm caused by greenhouse gas emissions</w:t>
      </w:r>
      <w:r w:rsidR="007F0EB6">
        <w:rPr>
          <w:sz w:val="23"/>
          <w:szCs w:val="23"/>
        </w:rPr>
        <w:t>.</w:t>
      </w:r>
      <w:r w:rsidR="00296BA7">
        <w:rPr>
          <w:rStyle w:val="FootnoteReference"/>
          <w:sz w:val="23"/>
          <w:szCs w:val="23"/>
        </w:rPr>
        <w:footnoteReference w:id="57"/>
      </w:r>
      <w:r w:rsidR="003E798C">
        <w:rPr>
          <w:sz w:val="23"/>
          <w:szCs w:val="23"/>
        </w:rPr>
        <w:t xml:space="preserve"> </w:t>
      </w:r>
      <w:r w:rsidR="007F0EB6">
        <w:rPr>
          <w:sz w:val="23"/>
          <w:szCs w:val="23"/>
        </w:rPr>
        <w:t xml:space="preserve"> Th</w:t>
      </w:r>
      <w:r w:rsidR="008973F3">
        <w:rPr>
          <w:sz w:val="23"/>
          <w:szCs w:val="23"/>
        </w:rPr>
        <w:t>us the Court found tha</w:t>
      </w:r>
      <w:r w:rsidR="009B1425">
        <w:rPr>
          <w:sz w:val="23"/>
          <w:szCs w:val="23"/>
        </w:rPr>
        <w:t xml:space="preserve">n economic assessment which discounts </w:t>
      </w:r>
      <w:r w:rsidR="002243C9">
        <w:rPr>
          <w:sz w:val="23"/>
          <w:szCs w:val="23"/>
        </w:rPr>
        <w:t xml:space="preserve">greenhouse gas impact on </w:t>
      </w:r>
      <w:r w:rsidR="009B1425">
        <w:rPr>
          <w:sz w:val="23"/>
          <w:szCs w:val="23"/>
        </w:rPr>
        <w:t>future</w:t>
      </w:r>
      <w:r w:rsidR="002243C9">
        <w:rPr>
          <w:sz w:val="23"/>
          <w:szCs w:val="23"/>
        </w:rPr>
        <w:t xml:space="preserve"> generations must be approached with some circumspection</w:t>
      </w:r>
      <w:r w:rsidR="004A54B8">
        <w:rPr>
          <w:sz w:val="23"/>
          <w:szCs w:val="23"/>
        </w:rPr>
        <w:t xml:space="preserve"> when considering intergenerational equity.</w:t>
      </w:r>
      <w:r w:rsidR="004A54B8">
        <w:rPr>
          <w:rStyle w:val="FootnoteReference"/>
          <w:sz w:val="23"/>
          <w:szCs w:val="23"/>
        </w:rPr>
        <w:footnoteReference w:id="58"/>
      </w:r>
    </w:p>
    <w:p w14:paraId="7BB23763" w14:textId="77777777" w:rsidR="00157295" w:rsidRPr="00157295" w:rsidRDefault="00157295" w:rsidP="00157295">
      <w:pPr>
        <w:rPr>
          <w:rFonts w:ascii="Source Sans Pro" w:hAnsi="Source Sans Pro"/>
          <w:sz w:val="22"/>
          <w:szCs w:val="22"/>
        </w:rPr>
      </w:pPr>
    </w:p>
    <w:p w14:paraId="25252469" w14:textId="56F6159E" w:rsidR="007C12D0" w:rsidRPr="00157295" w:rsidRDefault="007C12D0" w:rsidP="00705BC7">
      <w:pPr>
        <w:pStyle w:val="ListParagraph"/>
        <w:numPr>
          <w:ilvl w:val="0"/>
          <w:numId w:val="31"/>
        </w:numPr>
        <w:rPr>
          <w:rFonts w:ascii="Source Sans Pro" w:hAnsi="Source Sans Pro"/>
          <w:sz w:val="22"/>
          <w:szCs w:val="22"/>
        </w:rPr>
      </w:pPr>
      <w:r>
        <w:rPr>
          <w:rFonts w:ascii="Source Sans Pro" w:hAnsi="Source Sans Pro"/>
          <w:b/>
          <w:bCs/>
          <w:sz w:val="22"/>
          <w:szCs w:val="22"/>
        </w:rPr>
        <w:t xml:space="preserve">Population </w:t>
      </w:r>
      <w:r w:rsidR="00AD4469">
        <w:rPr>
          <w:rFonts w:ascii="Source Sans Pro" w:hAnsi="Source Sans Pro"/>
          <w:b/>
          <w:bCs/>
          <w:sz w:val="22"/>
          <w:szCs w:val="22"/>
        </w:rPr>
        <w:t>apportionment</w:t>
      </w:r>
      <w:r>
        <w:rPr>
          <w:rFonts w:ascii="Source Sans Pro" w:hAnsi="Source Sans Pro"/>
          <w:b/>
          <w:bCs/>
          <w:sz w:val="22"/>
          <w:szCs w:val="22"/>
        </w:rPr>
        <w:t xml:space="preserve"> of climate impacts: </w:t>
      </w:r>
      <w:r w:rsidR="006D3133">
        <w:rPr>
          <w:rFonts w:ascii="Source Sans Pro" w:hAnsi="Source Sans Pro"/>
          <w:sz w:val="22"/>
          <w:szCs w:val="22"/>
        </w:rPr>
        <w:t xml:space="preserve">The </w:t>
      </w:r>
      <w:r w:rsidR="00843B09">
        <w:rPr>
          <w:rFonts w:ascii="Source Sans Pro" w:hAnsi="Source Sans Pro"/>
          <w:sz w:val="22"/>
          <w:szCs w:val="22"/>
        </w:rPr>
        <w:t>economist</w:t>
      </w:r>
      <w:r w:rsidR="006979AB">
        <w:rPr>
          <w:rFonts w:ascii="Source Sans Pro" w:hAnsi="Source Sans Pro"/>
          <w:sz w:val="22"/>
          <w:szCs w:val="22"/>
        </w:rPr>
        <w:t xml:space="preserve"> for Waratah</w:t>
      </w:r>
      <w:r w:rsidR="00843B09">
        <w:rPr>
          <w:rFonts w:ascii="Source Sans Pro" w:hAnsi="Source Sans Pro"/>
          <w:sz w:val="22"/>
          <w:szCs w:val="22"/>
        </w:rPr>
        <w:t xml:space="preserve"> divided the global costs of greenhouse gas emissions form the project</w:t>
      </w:r>
      <w:r w:rsidR="00812A1D">
        <w:rPr>
          <w:rFonts w:ascii="Source Sans Pro" w:hAnsi="Source Sans Pro"/>
          <w:sz w:val="22"/>
          <w:szCs w:val="22"/>
        </w:rPr>
        <w:t xml:space="preserve"> by Queensland’s share of the global population, an approach he described as ‘dubious’ and ‘questionable’</w:t>
      </w:r>
      <w:r w:rsidR="00594BCA">
        <w:rPr>
          <w:rFonts w:ascii="Source Sans Pro" w:hAnsi="Source Sans Pro"/>
          <w:sz w:val="22"/>
          <w:szCs w:val="22"/>
        </w:rPr>
        <w:t xml:space="preserve"> when</w:t>
      </w:r>
      <w:r w:rsidR="008841C6">
        <w:rPr>
          <w:rFonts w:ascii="Source Sans Pro" w:hAnsi="Source Sans Pro"/>
          <w:sz w:val="22"/>
          <w:szCs w:val="22"/>
        </w:rPr>
        <w:t xml:space="preserve"> engaged by government.</w:t>
      </w:r>
      <w:r w:rsidR="008841C6">
        <w:rPr>
          <w:rStyle w:val="FootnoteReference"/>
          <w:rFonts w:ascii="Source Sans Pro" w:hAnsi="Source Sans Pro"/>
          <w:sz w:val="22"/>
          <w:szCs w:val="22"/>
        </w:rPr>
        <w:footnoteReference w:id="59"/>
      </w:r>
      <w:r w:rsidR="00984919">
        <w:rPr>
          <w:rFonts w:ascii="Source Sans Pro" w:hAnsi="Source Sans Pro"/>
          <w:sz w:val="22"/>
          <w:szCs w:val="22"/>
        </w:rPr>
        <w:t xml:space="preserve">  The Court found that </w:t>
      </w:r>
      <w:r w:rsidR="003B1D10">
        <w:rPr>
          <w:rFonts w:ascii="Source Sans Pro" w:hAnsi="Source Sans Pro"/>
          <w:sz w:val="22"/>
          <w:szCs w:val="22"/>
        </w:rPr>
        <w:t xml:space="preserve">this approach </w:t>
      </w:r>
      <w:r w:rsidR="007F7CBD">
        <w:rPr>
          <w:sz w:val="23"/>
          <w:szCs w:val="23"/>
        </w:rPr>
        <w:t xml:space="preserve">might make sense within the confines of the </w:t>
      </w:r>
      <w:r w:rsidR="0062050A">
        <w:rPr>
          <w:sz w:val="23"/>
          <w:szCs w:val="23"/>
        </w:rPr>
        <w:t>Cost Benefit Analysis</w:t>
      </w:r>
      <w:r w:rsidR="007F7CBD">
        <w:rPr>
          <w:sz w:val="23"/>
          <w:szCs w:val="23"/>
        </w:rPr>
        <w:t xml:space="preserve"> methodology, but it did not relieve it from deciding how the full weight of greenhouse gas emission impacts weighs in the balance in making a decision.</w:t>
      </w:r>
      <w:r w:rsidR="007F7CBD">
        <w:rPr>
          <w:rStyle w:val="FootnoteReference"/>
          <w:sz w:val="23"/>
          <w:szCs w:val="23"/>
        </w:rPr>
        <w:footnoteReference w:id="60"/>
      </w:r>
    </w:p>
    <w:p w14:paraId="39A83640" w14:textId="77777777" w:rsidR="00157295" w:rsidRPr="00157295" w:rsidRDefault="00157295" w:rsidP="00157295">
      <w:pPr>
        <w:rPr>
          <w:rFonts w:ascii="Source Sans Pro" w:hAnsi="Source Sans Pro"/>
          <w:sz w:val="22"/>
          <w:szCs w:val="22"/>
        </w:rPr>
      </w:pPr>
    </w:p>
    <w:p w14:paraId="58004702" w14:textId="00F05465" w:rsidR="001D70A7" w:rsidRDefault="00CF5CB7" w:rsidP="00705BC7">
      <w:pPr>
        <w:pStyle w:val="ListParagraph"/>
        <w:numPr>
          <w:ilvl w:val="0"/>
          <w:numId w:val="31"/>
        </w:numPr>
        <w:rPr>
          <w:rFonts w:ascii="Source Sans Pro" w:hAnsi="Source Sans Pro"/>
          <w:sz w:val="22"/>
          <w:szCs w:val="22"/>
        </w:rPr>
      </w:pPr>
      <w:r>
        <w:rPr>
          <w:rFonts w:ascii="Source Sans Pro" w:hAnsi="Source Sans Pro"/>
          <w:b/>
          <w:bCs/>
          <w:sz w:val="22"/>
          <w:szCs w:val="22"/>
        </w:rPr>
        <w:t xml:space="preserve">Viability is separable from </w:t>
      </w:r>
      <w:r w:rsidR="001F0670">
        <w:rPr>
          <w:rFonts w:ascii="Source Sans Pro" w:hAnsi="Source Sans Pro"/>
          <w:b/>
          <w:bCs/>
          <w:sz w:val="22"/>
          <w:szCs w:val="22"/>
        </w:rPr>
        <w:t xml:space="preserve">financial </w:t>
      </w:r>
      <w:r w:rsidR="008932E5">
        <w:rPr>
          <w:rFonts w:ascii="Source Sans Pro" w:hAnsi="Source Sans Pro"/>
          <w:b/>
          <w:bCs/>
          <w:sz w:val="22"/>
          <w:szCs w:val="22"/>
        </w:rPr>
        <w:t>capacity</w:t>
      </w:r>
      <w:r w:rsidR="00911079">
        <w:rPr>
          <w:rFonts w:ascii="Source Sans Pro" w:hAnsi="Source Sans Pro"/>
          <w:b/>
          <w:bCs/>
          <w:sz w:val="22"/>
          <w:szCs w:val="22"/>
        </w:rPr>
        <w:t>/capability</w:t>
      </w:r>
      <w:r w:rsidR="001F0670">
        <w:rPr>
          <w:rFonts w:ascii="Source Sans Pro" w:hAnsi="Source Sans Pro"/>
          <w:b/>
          <w:bCs/>
          <w:sz w:val="22"/>
          <w:szCs w:val="22"/>
        </w:rPr>
        <w:t xml:space="preserve">: </w:t>
      </w:r>
      <w:r w:rsidR="001F0670">
        <w:rPr>
          <w:rFonts w:ascii="Source Sans Pro" w:hAnsi="Source Sans Pro"/>
          <w:sz w:val="22"/>
          <w:szCs w:val="22"/>
        </w:rPr>
        <w:t xml:space="preserve">Waratah objected to evidence that the mine would become unviable in its lifetime on the basis that the objectors </w:t>
      </w:r>
      <w:r w:rsidR="008845DC">
        <w:rPr>
          <w:rFonts w:ascii="Source Sans Pro" w:hAnsi="Source Sans Pro"/>
          <w:sz w:val="22"/>
          <w:szCs w:val="22"/>
        </w:rPr>
        <w:t>had abandoned grounds related to the financial</w:t>
      </w:r>
      <w:r w:rsidR="007D6E7A">
        <w:rPr>
          <w:rFonts w:ascii="Source Sans Pro" w:hAnsi="Source Sans Pro"/>
          <w:sz w:val="22"/>
          <w:szCs w:val="22"/>
        </w:rPr>
        <w:t xml:space="preserve"> and technical</w:t>
      </w:r>
      <w:r w:rsidR="008845DC">
        <w:rPr>
          <w:rFonts w:ascii="Source Sans Pro" w:hAnsi="Source Sans Pro"/>
          <w:sz w:val="22"/>
          <w:szCs w:val="22"/>
        </w:rPr>
        <w:t xml:space="preserve"> capability of the applicant.  The Court found that </w:t>
      </w:r>
      <w:r w:rsidR="00DD2219">
        <w:rPr>
          <w:rFonts w:ascii="Source Sans Pro" w:hAnsi="Source Sans Pro"/>
          <w:sz w:val="22"/>
          <w:szCs w:val="22"/>
        </w:rPr>
        <w:t xml:space="preserve">financial </w:t>
      </w:r>
      <w:r w:rsidR="008845DC">
        <w:rPr>
          <w:rFonts w:ascii="Source Sans Pro" w:hAnsi="Source Sans Pro"/>
          <w:sz w:val="22"/>
          <w:szCs w:val="22"/>
        </w:rPr>
        <w:t>viability</w:t>
      </w:r>
      <w:r w:rsidR="001B740D">
        <w:rPr>
          <w:rFonts w:ascii="Source Sans Pro" w:hAnsi="Source Sans Pro"/>
          <w:sz w:val="22"/>
          <w:szCs w:val="22"/>
        </w:rPr>
        <w:t xml:space="preserve"> could be raised as it also related to whether the resource would be utilised</w:t>
      </w:r>
      <w:r w:rsidR="00425798">
        <w:rPr>
          <w:rFonts w:ascii="Source Sans Pro" w:hAnsi="Source Sans Pro"/>
          <w:sz w:val="22"/>
          <w:szCs w:val="22"/>
        </w:rPr>
        <w:t xml:space="preserve"> and whether the full economic benefits would be realised.</w:t>
      </w:r>
      <w:r w:rsidR="00425798">
        <w:rPr>
          <w:rStyle w:val="FootnoteReference"/>
          <w:rFonts w:ascii="Source Sans Pro" w:hAnsi="Source Sans Pro"/>
          <w:sz w:val="22"/>
          <w:szCs w:val="22"/>
        </w:rPr>
        <w:footnoteReference w:id="61"/>
      </w:r>
    </w:p>
    <w:p w14:paraId="1EE24EEE" w14:textId="77777777" w:rsidR="00157295" w:rsidRPr="00157295" w:rsidRDefault="00157295" w:rsidP="00157295">
      <w:pPr>
        <w:rPr>
          <w:rFonts w:ascii="Source Sans Pro" w:hAnsi="Source Sans Pro"/>
          <w:sz w:val="22"/>
          <w:szCs w:val="22"/>
        </w:rPr>
      </w:pPr>
    </w:p>
    <w:p w14:paraId="36D3F440" w14:textId="155A6895" w:rsidR="004A5D51" w:rsidRPr="00A8591A" w:rsidRDefault="00CA042B" w:rsidP="00705BC7">
      <w:pPr>
        <w:pStyle w:val="ListParagraph"/>
        <w:numPr>
          <w:ilvl w:val="0"/>
          <w:numId w:val="31"/>
        </w:numPr>
        <w:rPr>
          <w:rFonts w:ascii="Source Sans Pro" w:hAnsi="Source Sans Pro"/>
          <w:sz w:val="22"/>
          <w:szCs w:val="22"/>
        </w:rPr>
      </w:pPr>
      <w:r w:rsidRPr="00A8591A">
        <w:rPr>
          <w:rFonts w:ascii="Source Sans Pro" w:hAnsi="Source Sans Pro"/>
          <w:b/>
          <w:bCs/>
          <w:sz w:val="22"/>
          <w:szCs w:val="22"/>
        </w:rPr>
        <w:t>Human rights</w:t>
      </w:r>
      <w:r w:rsidR="00CF6850" w:rsidRPr="00A8591A">
        <w:rPr>
          <w:rFonts w:ascii="Source Sans Pro" w:hAnsi="Source Sans Pro"/>
          <w:sz w:val="22"/>
          <w:szCs w:val="22"/>
        </w:rPr>
        <w:t xml:space="preserve">: </w:t>
      </w:r>
      <w:r w:rsidR="003A228C">
        <w:rPr>
          <w:rFonts w:ascii="Source Sans Pro" w:hAnsi="Source Sans Pro"/>
          <w:sz w:val="22"/>
          <w:szCs w:val="22"/>
        </w:rPr>
        <w:t>Consistent with it</w:t>
      </w:r>
      <w:r w:rsidR="00333238">
        <w:rPr>
          <w:rFonts w:ascii="Source Sans Pro" w:hAnsi="Source Sans Pro"/>
          <w:sz w:val="22"/>
          <w:szCs w:val="22"/>
        </w:rPr>
        <w:t>s</w:t>
      </w:r>
      <w:r w:rsidR="003A228C">
        <w:rPr>
          <w:rFonts w:ascii="Source Sans Pro" w:hAnsi="Source Sans Pro"/>
          <w:sz w:val="22"/>
          <w:szCs w:val="22"/>
        </w:rPr>
        <w:t xml:space="preserve"> earlier decision that it was bound by the </w:t>
      </w:r>
      <w:r w:rsidR="003A228C" w:rsidRPr="009477BC">
        <w:rPr>
          <w:rFonts w:ascii="Source Sans Pro" w:hAnsi="Source Sans Pro"/>
          <w:i/>
          <w:iCs/>
          <w:sz w:val="22"/>
          <w:szCs w:val="22"/>
        </w:rPr>
        <w:t>Human Rights Act 2019</w:t>
      </w:r>
      <w:r w:rsidR="003A228C">
        <w:rPr>
          <w:rFonts w:ascii="Source Sans Pro" w:hAnsi="Source Sans Pro"/>
          <w:sz w:val="22"/>
          <w:szCs w:val="22"/>
        </w:rPr>
        <w:t>,</w:t>
      </w:r>
      <w:r w:rsidR="00C93273">
        <w:rPr>
          <w:rStyle w:val="FootnoteReference"/>
          <w:rFonts w:ascii="Source Sans Pro" w:hAnsi="Source Sans Pro"/>
          <w:sz w:val="22"/>
          <w:szCs w:val="22"/>
        </w:rPr>
        <w:footnoteReference w:id="62"/>
      </w:r>
      <w:r w:rsidR="003A228C">
        <w:rPr>
          <w:rFonts w:ascii="Source Sans Pro" w:hAnsi="Source Sans Pro"/>
          <w:sz w:val="22"/>
          <w:szCs w:val="22"/>
        </w:rPr>
        <w:t xml:space="preserve"> </w:t>
      </w:r>
      <w:r w:rsidR="009477BC">
        <w:rPr>
          <w:rFonts w:ascii="Source Sans Pro" w:hAnsi="Source Sans Pro"/>
          <w:sz w:val="22"/>
          <w:szCs w:val="22"/>
        </w:rPr>
        <w:t>t</w:t>
      </w:r>
      <w:r w:rsidR="002F2C42" w:rsidRPr="00A8591A">
        <w:rPr>
          <w:rFonts w:ascii="Source Sans Pro" w:hAnsi="Source Sans Pro"/>
          <w:sz w:val="22"/>
          <w:szCs w:val="22"/>
        </w:rPr>
        <w:t>he Court found</w:t>
      </w:r>
      <w:r w:rsidR="00573DED" w:rsidRPr="00A8591A">
        <w:rPr>
          <w:rFonts w:ascii="Source Sans Pro" w:hAnsi="Source Sans Pro"/>
          <w:sz w:val="22"/>
          <w:szCs w:val="22"/>
        </w:rPr>
        <w:t xml:space="preserve"> that it could take human rights into account as a matter relevant to the public interest. </w:t>
      </w:r>
      <w:r w:rsidR="00CF6850" w:rsidRPr="00A8591A">
        <w:rPr>
          <w:rFonts w:ascii="Source Sans Pro" w:hAnsi="Source Sans Pro"/>
          <w:sz w:val="22"/>
          <w:szCs w:val="22"/>
        </w:rPr>
        <w:t xml:space="preserve">The Court found that five human rights were engaged by the impacts of the Project: </w:t>
      </w:r>
      <w:r w:rsidR="00BF0AEE" w:rsidRPr="00A8591A">
        <w:rPr>
          <w:rFonts w:ascii="Source Sans Pro" w:hAnsi="Source Sans Pro"/>
          <w:sz w:val="22"/>
          <w:szCs w:val="22"/>
        </w:rPr>
        <w:t xml:space="preserve">the right to life, cultural rights, right to </w:t>
      </w:r>
      <w:r w:rsidR="00192641" w:rsidRPr="00A8591A">
        <w:rPr>
          <w:rFonts w:ascii="Source Sans Pro" w:hAnsi="Source Sans Pro"/>
          <w:sz w:val="22"/>
          <w:szCs w:val="22"/>
        </w:rPr>
        <w:t>equality,</w:t>
      </w:r>
      <w:r w:rsidR="00F24B7F" w:rsidRPr="00A8591A">
        <w:rPr>
          <w:rFonts w:ascii="Source Sans Pro" w:hAnsi="Source Sans Pro"/>
          <w:sz w:val="22"/>
          <w:szCs w:val="22"/>
        </w:rPr>
        <w:t xml:space="preserve"> rights of children and</w:t>
      </w:r>
      <w:r w:rsidR="00192641" w:rsidRPr="00A8591A">
        <w:rPr>
          <w:rFonts w:ascii="Source Sans Pro" w:hAnsi="Source Sans Pro"/>
          <w:sz w:val="22"/>
          <w:szCs w:val="22"/>
        </w:rPr>
        <w:t xml:space="preserve"> </w:t>
      </w:r>
      <w:r w:rsidR="00BF0AEE" w:rsidRPr="00A8591A">
        <w:rPr>
          <w:rFonts w:ascii="Source Sans Pro" w:hAnsi="Source Sans Pro"/>
          <w:sz w:val="22"/>
          <w:szCs w:val="22"/>
        </w:rPr>
        <w:t xml:space="preserve">rights to </w:t>
      </w:r>
      <w:r w:rsidR="00192641" w:rsidRPr="00A8591A">
        <w:rPr>
          <w:rFonts w:ascii="Source Sans Pro" w:hAnsi="Source Sans Pro"/>
          <w:sz w:val="22"/>
          <w:szCs w:val="22"/>
        </w:rPr>
        <w:t xml:space="preserve">property and privacy.  These were engaged by </w:t>
      </w:r>
      <w:r w:rsidR="00824A48" w:rsidRPr="00A8591A">
        <w:rPr>
          <w:rFonts w:ascii="Source Sans Pro" w:hAnsi="Source Sans Pro"/>
          <w:sz w:val="22"/>
          <w:szCs w:val="22"/>
        </w:rPr>
        <w:t>the impacts on Queensland through climate change</w:t>
      </w:r>
      <w:r w:rsidR="00C0213D" w:rsidRPr="00A8591A">
        <w:rPr>
          <w:rFonts w:ascii="Source Sans Pro" w:hAnsi="Source Sans Pro"/>
          <w:sz w:val="22"/>
          <w:szCs w:val="22"/>
        </w:rPr>
        <w:t xml:space="preserve">, and for </w:t>
      </w:r>
      <w:r w:rsidR="00326D38" w:rsidRPr="00A8591A">
        <w:rPr>
          <w:rFonts w:ascii="Source Sans Pro" w:hAnsi="Source Sans Pro"/>
          <w:sz w:val="22"/>
          <w:szCs w:val="22"/>
        </w:rPr>
        <w:t>property and privacy</w:t>
      </w:r>
      <w:r w:rsidR="00C0213D" w:rsidRPr="00A8591A">
        <w:rPr>
          <w:rFonts w:ascii="Source Sans Pro" w:hAnsi="Source Sans Pro"/>
          <w:sz w:val="22"/>
          <w:szCs w:val="22"/>
        </w:rPr>
        <w:t xml:space="preserve"> rights, the local impacts on the Bimblebox Nature Refuge</w:t>
      </w:r>
      <w:r w:rsidR="00824A48" w:rsidRPr="00A8591A">
        <w:rPr>
          <w:rFonts w:ascii="Source Sans Pro" w:hAnsi="Source Sans Pro"/>
          <w:sz w:val="22"/>
          <w:szCs w:val="22"/>
        </w:rPr>
        <w:t xml:space="preserve">. </w:t>
      </w:r>
      <w:r w:rsidR="006A436B" w:rsidRPr="00A8591A">
        <w:rPr>
          <w:rFonts w:ascii="Source Sans Pro" w:hAnsi="Source Sans Pro"/>
          <w:sz w:val="22"/>
          <w:szCs w:val="22"/>
        </w:rPr>
        <w:t>Waratah contended for an interpretation of ‘limit’ founded in causation tests. The Court rejected that construction</w:t>
      </w:r>
      <w:r w:rsidR="00476033" w:rsidRPr="00A8591A">
        <w:rPr>
          <w:rFonts w:ascii="Source Sans Pro" w:hAnsi="Source Sans Pro"/>
          <w:sz w:val="22"/>
          <w:szCs w:val="22"/>
        </w:rPr>
        <w:t xml:space="preserve">, noting that its role is </w:t>
      </w:r>
      <w:r w:rsidR="0013187D" w:rsidRPr="00A8591A">
        <w:rPr>
          <w:rFonts w:ascii="Source Sans Pro" w:hAnsi="Source Sans Pro"/>
          <w:sz w:val="22"/>
          <w:szCs w:val="22"/>
        </w:rPr>
        <w:t xml:space="preserve">administrative and </w:t>
      </w:r>
      <w:r w:rsidR="00275659" w:rsidRPr="00A8591A">
        <w:rPr>
          <w:rFonts w:ascii="Source Sans Pro" w:hAnsi="Source Sans Pro"/>
          <w:sz w:val="22"/>
          <w:szCs w:val="22"/>
        </w:rPr>
        <w:t>‘</w:t>
      </w:r>
      <w:r w:rsidR="00476033" w:rsidRPr="00A8591A">
        <w:rPr>
          <w:rFonts w:ascii="Source Sans Pro" w:hAnsi="Source Sans Pro"/>
          <w:sz w:val="22"/>
          <w:szCs w:val="22"/>
        </w:rPr>
        <w:t>forward looking</w:t>
      </w:r>
      <w:r w:rsidR="00275659" w:rsidRPr="00A8591A">
        <w:rPr>
          <w:rFonts w:ascii="Source Sans Pro" w:hAnsi="Source Sans Pro"/>
          <w:sz w:val="22"/>
          <w:szCs w:val="22"/>
        </w:rPr>
        <w:t xml:space="preserve">’ as to whether </w:t>
      </w:r>
      <w:r w:rsidR="004902D9" w:rsidRPr="00A8591A">
        <w:rPr>
          <w:rFonts w:ascii="Source Sans Pro" w:hAnsi="Source Sans Pro"/>
          <w:sz w:val="22"/>
          <w:szCs w:val="22"/>
        </w:rPr>
        <w:t>the impacts of an</w:t>
      </w:r>
      <w:r w:rsidR="00275659" w:rsidRPr="00A8591A">
        <w:rPr>
          <w:rFonts w:ascii="Source Sans Pro" w:hAnsi="Source Sans Pro"/>
          <w:sz w:val="22"/>
          <w:szCs w:val="22"/>
        </w:rPr>
        <w:t xml:space="preserve"> action</w:t>
      </w:r>
      <w:r w:rsidR="0007533A" w:rsidRPr="00A8591A">
        <w:rPr>
          <w:rFonts w:ascii="Source Sans Pro" w:hAnsi="Source Sans Pro"/>
          <w:sz w:val="22"/>
          <w:szCs w:val="22"/>
        </w:rPr>
        <w:t xml:space="preserve"> (direct and indirect)</w:t>
      </w:r>
      <w:r w:rsidR="00275659" w:rsidRPr="00A8591A">
        <w:rPr>
          <w:rFonts w:ascii="Source Sans Pro" w:hAnsi="Source Sans Pro"/>
          <w:sz w:val="22"/>
          <w:szCs w:val="22"/>
        </w:rPr>
        <w:t xml:space="preserve"> should be allowed</w:t>
      </w:r>
      <w:r w:rsidR="00020EF5" w:rsidRPr="00A8591A">
        <w:rPr>
          <w:rFonts w:ascii="Source Sans Pro" w:hAnsi="Source Sans Pro"/>
          <w:sz w:val="22"/>
          <w:szCs w:val="22"/>
        </w:rPr>
        <w:t xml:space="preserve">, rather than </w:t>
      </w:r>
      <w:r w:rsidR="00FE2FF8" w:rsidRPr="00A8591A">
        <w:rPr>
          <w:rFonts w:ascii="Source Sans Pro" w:hAnsi="Source Sans Pro"/>
          <w:sz w:val="22"/>
          <w:szCs w:val="22"/>
        </w:rPr>
        <w:t xml:space="preserve">being about </w:t>
      </w:r>
      <w:r w:rsidR="00020EF5" w:rsidRPr="00A8591A">
        <w:rPr>
          <w:rFonts w:ascii="Source Sans Pro" w:hAnsi="Source Sans Pro"/>
          <w:sz w:val="22"/>
          <w:szCs w:val="22"/>
        </w:rPr>
        <w:t>attributing liability.</w:t>
      </w:r>
      <w:r w:rsidR="00020EF5">
        <w:rPr>
          <w:rStyle w:val="FootnoteReference"/>
          <w:rFonts w:ascii="Source Sans Pro" w:hAnsi="Source Sans Pro"/>
          <w:sz w:val="22"/>
          <w:szCs w:val="22"/>
        </w:rPr>
        <w:footnoteReference w:id="63"/>
      </w:r>
      <w:r w:rsidR="00824A48" w:rsidRPr="00A8591A">
        <w:rPr>
          <w:rFonts w:ascii="Source Sans Pro" w:hAnsi="Source Sans Pro"/>
          <w:sz w:val="22"/>
          <w:szCs w:val="22"/>
        </w:rPr>
        <w:t xml:space="preserve"> </w:t>
      </w:r>
      <w:r w:rsidR="00DD6FA4" w:rsidRPr="00A8591A">
        <w:rPr>
          <w:rFonts w:ascii="Source Sans Pro" w:hAnsi="Source Sans Pro"/>
          <w:sz w:val="22"/>
          <w:szCs w:val="22"/>
        </w:rPr>
        <w:t>The Court</w:t>
      </w:r>
      <w:r w:rsidR="00FA4556" w:rsidRPr="00A8591A">
        <w:rPr>
          <w:rFonts w:ascii="Source Sans Pro" w:hAnsi="Source Sans Pro"/>
          <w:sz w:val="22"/>
          <w:szCs w:val="22"/>
        </w:rPr>
        <w:t xml:space="preserve"> accepted that combustion emissions</w:t>
      </w:r>
      <w:r w:rsidR="00D42233" w:rsidRPr="00A8591A">
        <w:rPr>
          <w:rFonts w:ascii="Source Sans Pro" w:hAnsi="Source Sans Pro"/>
          <w:sz w:val="22"/>
          <w:szCs w:val="22"/>
        </w:rPr>
        <w:t xml:space="preserve"> are sufficiently connected to the applications as to </w:t>
      </w:r>
      <w:r w:rsidR="00D42233" w:rsidRPr="00A8591A">
        <w:rPr>
          <w:rFonts w:ascii="Source Sans Pro" w:hAnsi="Source Sans Pro"/>
          <w:sz w:val="22"/>
          <w:szCs w:val="22"/>
        </w:rPr>
        <w:lastRenderedPageBreak/>
        <w:t>constitute a limit to human rights</w:t>
      </w:r>
      <w:r w:rsidR="00270381" w:rsidRPr="00A8591A">
        <w:rPr>
          <w:rFonts w:ascii="Source Sans Pro" w:hAnsi="Source Sans Pro"/>
          <w:sz w:val="22"/>
          <w:szCs w:val="22"/>
        </w:rPr>
        <w:t>,</w:t>
      </w:r>
      <w:r w:rsidR="009329B6">
        <w:rPr>
          <w:rStyle w:val="FootnoteReference"/>
          <w:rFonts w:ascii="Source Sans Pro" w:hAnsi="Source Sans Pro"/>
          <w:sz w:val="22"/>
          <w:szCs w:val="22"/>
        </w:rPr>
        <w:footnoteReference w:id="64"/>
      </w:r>
      <w:r w:rsidR="00D42233" w:rsidRPr="00A8591A">
        <w:rPr>
          <w:rFonts w:ascii="Source Sans Pro" w:hAnsi="Source Sans Pro"/>
          <w:sz w:val="22"/>
          <w:szCs w:val="22"/>
        </w:rPr>
        <w:t xml:space="preserve"> and</w:t>
      </w:r>
      <w:r w:rsidR="00DD6FA4" w:rsidRPr="00A8591A">
        <w:rPr>
          <w:rFonts w:ascii="Source Sans Pro" w:hAnsi="Source Sans Pro"/>
          <w:sz w:val="22"/>
          <w:szCs w:val="22"/>
        </w:rPr>
        <w:t xml:space="preserve"> found that the limitations of those rights by the </w:t>
      </w:r>
      <w:r w:rsidR="00993D41" w:rsidRPr="00A8591A">
        <w:rPr>
          <w:rFonts w:ascii="Source Sans Pro" w:hAnsi="Source Sans Pro"/>
          <w:sz w:val="22"/>
          <w:szCs w:val="22"/>
        </w:rPr>
        <w:t>P</w:t>
      </w:r>
      <w:r w:rsidR="00DD6FA4" w:rsidRPr="00A8591A">
        <w:rPr>
          <w:rFonts w:ascii="Source Sans Pro" w:hAnsi="Source Sans Pro"/>
          <w:sz w:val="22"/>
          <w:szCs w:val="22"/>
        </w:rPr>
        <w:t>roject were not reasonably and demonstrably justified in a fair and democratic society.</w:t>
      </w:r>
      <w:r w:rsidR="008C42C0" w:rsidRPr="00A8591A">
        <w:rPr>
          <w:rFonts w:ascii="Source Sans Pro" w:hAnsi="Source Sans Pro"/>
          <w:sz w:val="22"/>
          <w:szCs w:val="22"/>
        </w:rPr>
        <w:t xml:space="preserve"> </w:t>
      </w:r>
      <w:r w:rsidR="008F2546" w:rsidRPr="00A8591A">
        <w:rPr>
          <w:rFonts w:ascii="Source Sans Pro" w:hAnsi="Source Sans Pro"/>
          <w:sz w:val="22"/>
          <w:szCs w:val="22"/>
        </w:rPr>
        <w:t>The Court found that there was a clear and pressing threat to the right to life that is now experienced by people in Queensland and would only be exacerbated by increasing emissions to which the Project would make a material contribution.</w:t>
      </w:r>
      <w:r w:rsidR="008F2546">
        <w:rPr>
          <w:rStyle w:val="FootnoteReference"/>
          <w:rFonts w:ascii="Source Sans Pro" w:hAnsi="Source Sans Pro"/>
          <w:sz w:val="22"/>
          <w:szCs w:val="22"/>
        </w:rPr>
        <w:footnoteReference w:id="65"/>
      </w:r>
      <w:r w:rsidR="00A8591A" w:rsidRPr="00A8591A">
        <w:rPr>
          <w:rFonts w:ascii="Source Sans Pro" w:hAnsi="Source Sans Pro"/>
          <w:sz w:val="22"/>
          <w:szCs w:val="22"/>
        </w:rPr>
        <w:t xml:space="preserve"> </w:t>
      </w:r>
      <w:r w:rsidR="008C42C0" w:rsidRPr="00A8591A">
        <w:rPr>
          <w:rFonts w:ascii="Source Sans Pro" w:hAnsi="Source Sans Pro"/>
          <w:sz w:val="22"/>
          <w:szCs w:val="22"/>
        </w:rPr>
        <w:t>In respect of cultural rights under s 28</w:t>
      </w:r>
      <w:r w:rsidR="008D6AA9" w:rsidRPr="00A8591A">
        <w:rPr>
          <w:rFonts w:ascii="Source Sans Pro" w:hAnsi="Source Sans Pro"/>
          <w:sz w:val="22"/>
          <w:szCs w:val="22"/>
        </w:rPr>
        <w:t>, the Court</w:t>
      </w:r>
      <w:r w:rsidR="008C42C0" w:rsidRPr="00A8591A">
        <w:rPr>
          <w:rFonts w:ascii="Source Sans Pro" w:hAnsi="Source Sans Pro"/>
          <w:sz w:val="22"/>
          <w:szCs w:val="22"/>
        </w:rPr>
        <w:t>:</w:t>
      </w:r>
    </w:p>
    <w:p w14:paraId="23C09E42" w14:textId="218B846D" w:rsidR="008C42C0" w:rsidRDefault="00A22A22" w:rsidP="008C42C0">
      <w:pPr>
        <w:pStyle w:val="ListParagraph"/>
        <w:numPr>
          <w:ilvl w:val="1"/>
          <w:numId w:val="31"/>
        </w:numPr>
        <w:rPr>
          <w:rFonts w:ascii="Source Sans Pro" w:hAnsi="Source Sans Pro"/>
          <w:sz w:val="22"/>
          <w:szCs w:val="22"/>
        </w:rPr>
      </w:pPr>
      <w:r>
        <w:rPr>
          <w:rFonts w:ascii="Source Sans Pro" w:hAnsi="Source Sans Pro"/>
          <w:sz w:val="22"/>
          <w:szCs w:val="22"/>
        </w:rPr>
        <w:t>considered the importance of the rights against the backdrop of systematic dispossession and destruction</w:t>
      </w:r>
      <w:r w:rsidR="00264388">
        <w:rPr>
          <w:rFonts w:ascii="Source Sans Pro" w:hAnsi="Source Sans Pro"/>
          <w:sz w:val="22"/>
          <w:szCs w:val="22"/>
        </w:rPr>
        <w:t xml:space="preserve"> of culture;</w:t>
      </w:r>
      <w:r w:rsidR="001147C3">
        <w:rPr>
          <w:rStyle w:val="FootnoteReference"/>
          <w:rFonts w:ascii="Source Sans Pro" w:hAnsi="Source Sans Pro"/>
          <w:sz w:val="22"/>
          <w:szCs w:val="22"/>
        </w:rPr>
        <w:footnoteReference w:id="66"/>
      </w:r>
    </w:p>
    <w:p w14:paraId="17958069" w14:textId="45AA20AD" w:rsidR="00264388" w:rsidRDefault="007E146B" w:rsidP="008C42C0">
      <w:pPr>
        <w:pStyle w:val="ListParagraph"/>
        <w:numPr>
          <w:ilvl w:val="1"/>
          <w:numId w:val="31"/>
        </w:numPr>
        <w:rPr>
          <w:rFonts w:ascii="Source Sans Pro" w:hAnsi="Source Sans Pro"/>
          <w:sz w:val="22"/>
          <w:szCs w:val="22"/>
        </w:rPr>
      </w:pPr>
      <w:r>
        <w:rPr>
          <w:rFonts w:ascii="Source Sans Pro" w:hAnsi="Source Sans Pro"/>
          <w:sz w:val="22"/>
          <w:szCs w:val="22"/>
        </w:rPr>
        <w:t xml:space="preserve">acknowledged the First Nations witnesses’ active commitment to and participation in caring for country, and the significance of that to </w:t>
      </w:r>
      <w:r w:rsidR="001C48FF">
        <w:rPr>
          <w:rFonts w:ascii="Source Sans Pro" w:hAnsi="Source Sans Pro"/>
          <w:sz w:val="22"/>
          <w:szCs w:val="22"/>
        </w:rPr>
        <w:t>the protection afforded by s 28(2)(e);</w:t>
      </w:r>
      <w:r w:rsidR="001147C3">
        <w:rPr>
          <w:rStyle w:val="FootnoteReference"/>
          <w:rFonts w:ascii="Source Sans Pro" w:hAnsi="Source Sans Pro"/>
          <w:sz w:val="22"/>
          <w:szCs w:val="22"/>
        </w:rPr>
        <w:footnoteReference w:id="67"/>
      </w:r>
      <w:r w:rsidR="0087360A">
        <w:rPr>
          <w:rFonts w:ascii="Source Sans Pro" w:hAnsi="Source Sans Pro"/>
          <w:sz w:val="22"/>
          <w:szCs w:val="22"/>
        </w:rPr>
        <w:t xml:space="preserve"> and</w:t>
      </w:r>
    </w:p>
    <w:p w14:paraId="0E28D1FA" w14:textId="42E9BB67" w:rsidR="001C48FF" w:rsidRDefault="00173806" w:rsidP="0000308C">
      <w:pPr>
        <w:pStyle w:val="ListParagraph"/>
        <w:numPr>
          <w:ilvl w:val="1"/>
          <w:numId w:val="31"/>
        </w:numPr>
        <w:rPr>
          <w:rFonts w:ascii="Source Sans Pro" w:hAnsi="Source Sans Pro"/>
          <w:sz w:val="22"/>
          <w:szCs w:val="22"/>
        </w:rPr>
      </w:pPr>
      <w:r>
        <w:rPr>
          <w:rFonts w:ascii="Source Sans Pro" w:hAnsi="Source Sans Pro"/>
          <w:sz w:val="22"/>
          <w:szCs w:val="22"/>
        </w:rPr>
        <w:t>concluded that</w:t>
      </w:r>
      <w:r w:rsidR="00616B9B">
        <w:rPr>
          <w:rFonts w:ascii="Source Sans Pro" w:hAnsi="Source Sans Pro"/>
          <w:sz w:val="22"/>
          <w:szCs w:val="22"/>
        </w:rPr>
        <w:t xml:space="preserve"> the evidence demonstrates climate change will have a profound impact on cultural rights</w:t>
      </w:r>
      <w:r w:rsidR="008745CC">
        <w:rPr>
          <w:rFonts w:ascii="Source Sans Pro" w:hAnsi="Source Sans Pro"/>
          <w:sz w:val="22"/>
          <w:szCs w:val="22"/>
        </w:rPr>
        <w:t>, including risking the survival of culture</w:t>
      </w:r>
      <w:r w:rsidR="001147C3">
        <w:rPr>
          <w:rFonts w:ascii="Source Sans Pro" w:hAnsi="Source Sans Pro"/>
          <w:sz w:val="22"/>
          <w:szCs w:val="22"/>
        </w:rPr>
        <w:t>.</w:t>
      </w:r>
      <w:r w:rsidR="001147C3">
        <w:rPr>
          <w:rStyle w:val="FootnoteReference"/>
          <w:rFonts w:ascii="Source Sans Pro" w:hAnsi="Source Sans Pro"/>
          <w:sz w:val="22"/>
          <w:szCs w:val="22"/>
        </w:rPr>
        <w:footnoteReference w:id="68"/>
      </w:r>
    </w:p>
    <w:p w14:paraId="0AB93CF3" w14:textId="77777777" w:rsidR="00C7797C" w:rsidRDefault="00C7797C" w:rsidP="135E517B">
      <w:pPr>
        <w:rPr>
          <w:rFonts w:ascii="Source Sans Pro" w:hAnsi="Source Sans Pro"/>
          <w:sz w:val="22"/>
          <w:szCs w:val="22"/>
        </w:rPr>
      </w:pPr>
    </w:p>
    <w:p w14:paraId="5BDDA7AC" w14:textId="49715679" w:rsidR="00FE5C1C" w:rsidRPr="00FE5C1C" w:rsidRDefault="00FE5C1C" w:rsidP="00FE5C1C">
      <w:pPr>
        <w:rPr>
          <w:rStyle w:val="IntenseEmphasis"/>
          <w:sz w:val="28"/>
          <w:szCs w:val="28"/>
        </w:rPr>
      </w:pPr>
      <w:r w:rsidRPr="00FE5C1C">
        <w:rPr>
          <w:rStyle w:val="IntenseEmphasis"/>
          <w:sz w:val="28"/>
          <w:szCs w:val="28"/>
        </w:rPr>
        <w:t>Conclusion</w:t>
      </w:r>
    </w:p>
    <w:p w14:paraId="6F75F2C6" w14:textId="59F30A44" w:rsidR="009E50DC" w:rsidRDefault="009E50DC" w:rsidP="135E517B">
      <w:pPr>
        <w:rPr>
          <w:rFonts w:ascii="Source Sans Pro" w:hAnsi="Source Sans Pro"/>
          <w:sz w:val="22"/>
          <w:szCs w:val="22"/>
        </w:rPr>
      </w:pPr>
      <w:r>
        <w:rPr>
          <w:rFonts w:ascii="Source Sans Pro" w:hAnsi="Source Sans Pro"/>
          <w:sz w:val="22"/>
          <w:szCs w:val="22"/>
        </w:rPr>
        <w:t xml:space="preserve">Like the </w:t>
      </w:r>
      <w:r w:rsidRPr="00170419">
        <w:rPr>
          <w:rFonts w:ascii="Source Sans Pro" w:hAnsi="Source Sans Pro"/>
          <w:i/>
          <w:iCs/>
          <w:sz w:val="22"/>
          <w:szCs w:val="22"/>
        </w:rPr>
        <w:t>Rocky Hill</w:t>
      </w:r>
      <w:r w:rsidR="00B47A21">
        <w:rPr>
          <w:rStyle w:val="FootnoteReference"/>
          <w:rFonts w:ascii="Source Sans Pro" w:hAnsi="Source Sans Pro"/>
          <w:i/>
          <w:iCs/>
          <w:sz w:val="22"/>
          <w:szCs w:val="22"/>
        </w:rPr>
        <w:footnoteReference w:id="69"/>
      </w:r>
      <w:r>
        <w:rPr>
          <w:rFonts w:ascii="Source Sans Pro" w:hAnsi="Source Sans Pro"/>
          <w:sz w:val="22"/>
          <w:szCs w:val="22"/>
        </w:rPr>
        <w:t xml:space="preserve"> decision before it, the </w:t>
      </w:r>
      <w:r w:rsidR="002B1F70">
        <w:rPr>
          <w:rFonts w:ascii="Source Sans Pro" w:hAnsi="Source Sans Pro"/>
          <w:sz w:val="22"/>
          <w:szCs w:val="22"/>
        </w:rPr>
        <w:t>Bimblebox case</w:t>
      </w:r>
      <w:r w:rsidR="00015A2F">
        <w:rPr>
          <w:rFonts w:ascii="Source Sans Pro" w:hAnsi="Source Sans Pro"/>
          <w:sz w:val="22"/>
          <w:szCs w:val="22"/>
        </w:rPr>
        <w:t xml:space="preserve"> will be</w:t>
      </w:r>
      <w:r w:rsidR="00170419">
        <w:rPr>
          <w:rFonts w:ascii="Source Sans Pro" w:hAnsi="Source Sans Pro"/>
          <w:sz w:val="22"/>
          <w:szCs w:val="22"/>
        </w:rPr>
        <w:t>come</w:t>
      </w:r>
      <w:r w:rsidR="00015A2F">
        <w:rPr>
          <w:rFonts w:ascii="Source Sans Pro" w:hAnsi="Source Sans Pro"/>
          <w:sz w:val="22"/>
          <w:szCs w:val="22"/>
        </w:rPr>
        <w:t xml:space="preserve"> a reference point for </w:t>
      </w:r>
      <w:r w:rsidR="00170419">
        <w:rPr>
          <w:rFonts w:ascii="Source Sans Pro" w:hAnsi="Source Sans Pro"/>
          <w:sz w:val="22"/>
          <w:szCs w:val="22"/>
        </w:rPr>
        <w:t>climate litigation in Australia and globally.</w:t>
      </w:r>
    </w:p>
    <w:p w14:paraId="6E805081" w14:textId="77777777" w:rsidR="00127427" w:rsidRDefault="00127427" w:rsidP="135E517B">
      <w:pPr>
        <w:rPr>
          <w:rFonts w:ascii="Source Sans Pro" w:hAnsi="Source Sans Pro"/>
          <w:sz w:val="22"/>
          <w:szCs w:val="22"/>
        </w:rPr>
      </w:pPr>
    </w:p>
    <w:p w14:paraId="6EC27FC9" w14:textId="53A0BB6A" w:rsidR="00127427" w:rsidRDefault="00151579" w:rsidP="135E517B">
      <w:pPr>
        <w:rPr>
          <w:rFonts w:ascii="Source Sans Pro" w:hAnsi="Source Sans Pro"/>
          <w:sz w:val="22"/>
          <w:szCs w:val="22"/>
        </w:rPr>
      </w:pPr>
      <w:r>
        <w:rPr>
          <w:rFonts w:ascii="Source Sans Pro" w:hAnsi="Source Sans Pro"/>
          <w:sz w:val="22"/>
          <w:szCs w:val="22"/>
        </w:rPr>
        <w:t>More importantly</w:t>
      </w:r>
      <w:r w:rsidR="00D31EC2">
        <w:rPr>
          <w:rFonts w:ascii="Source Sans Pro" w:hAnsi="Source Sans Pro"/>
          <w:sz w:val="22"/>
          <w:szCs w:val="22"/>
        </w:rPr>
        <w:t>,</w:t>
      </w:r>
      <w:r>
        <w:rPr>
          <w:rFonts w:ascii="Source Sans Pro" w:hAnsi="Source Sans Pro"/>
          <w:sz w:val="22"/>
          <w:szCs w:val="22"/>
        </w:rPr>
        <w:t xml:space="preserve"> the case protects the natural values of the Bimblebox Nature Refuge, and the rights of those who care for it, in perpetuity. </w:t>
      </w:r>
      <w:r w:rsidR="006963A5">
        <w:rPr>
          <w:rFonts w:ascii="Source Sans Pro" w:hAnsi="Source Sans Pro"/>
          <w:sz w:val="22"/>
          <w:szCs w:val="22"/>
        </w:rPr>
        <w:t xml:space="preserve">It is also the first time </w:t>
      </w:r>
      <w:r w:rsidR="00E95C72">
        <w:rPr>
          <w:rFonts w:ascii="Source Sans Pro" w:hAnsi="Source Sans Pro"/>
          <w:sz w:val="22"/>
          <w:szCs w:val="22"/>
        </w:rPr>
        <w:t xml:space="preserve">the Land Court has </w:t>
      </w:r>
      <w:r w:rsidR="00FB0BBF">
        <w:rPr>
          <w:rFonts w:ascii="Source Sans Pro" w:hAnsi="Source Sans Pro"/>
          <w:sz w:val="22"/>
          <w:szCs w:val="22"/>
        </w:rPr>
        <w:t>considered the impacts of climate change on culture and Country</w:t>
      </w:r>
      <w:r w:rsidR="00E856AC">
        <w:rPr>
          <w:rFonts w:ascii="Source Sans Pro" w:hAnsi="Source Sans Pro"/>
          <w:sz w:val="22"/>
          <w:szCs w:val="22"/>
        </w:rPr>
        <w:t xml:space="preserve"> </w:t>
      </w:r>
      <w:r w:rsidR="00D6297F">
        <w:rPr>
          <w:rFonts w:ascii="Source Sans Pro" w:hAnsi="Source Sans Pro"/>
          <w:sz w:val="22"/>
          <w:szCs w:val="22"/>
        </w:rPr>
        <w:t xml:space="preserve">as weighing against approval of a coal project. </w:t>
      </w:r>
      <w:r w:rsidR="00AC727E">
        <w:rPr>
          <w:rFonts w:ascii="Source Sans Pro" w:hAnsi="Source Sans Pro"/>
          <w:sz w:val="22"/>
          <w:szCs w:val="22"/>
        </w:rPr>
        <w:t xml:space="preserve">This represents another step towards ensuring that the voices of First Nations peoples </w:t>
      </w:r>
      <w:r w:rsidR="00D35F82">
        <w:rPr>
          <w:rFonts w:ascii="Source Sans Pro" w:hAnsi="Source Sans Pro"/>
          <w:sz w:val="22"/>
          <w:szCs w:val="22"/>
        </w:rPr>
        <w:t>are heard and respected in matters that affect their Country</w:t>
      </w:r>
      <w:r w:rsidR="00FD5989">
        <w:rPr>
          <w:rFonts w:ascii="Source Sans Pro" w:hAnsi="Source Sans Pro"/>
          <w:sz w:val="22"/>
          <w:szCs w:val="22"/>
        </w:rPr>
        <w:t xml:space="preserve">, their connection to that Country, and their culture. </w:t>
      </w:r>
      <w:r w:rsidR="002F3910">
        <w:rPr>
          <w:rFonts w:ascii="Source Sans Pro" w:hAnsi="Source Sans Pro"/>
          <w:sz w:val="22"/>
          <w:szCs w:val="22"/>
        </w:rPr>
        <w:t xml:space="preserve"> </w:t>
      </w:r>
    </w:p>
    <w:p w14:paraId="3630EC9D" w14:textId="77777777" w:rsidR="00C7797C" w:rsidRDefault="00C7797C" w:rsidP="135E517B">
      <w:pPr>
        <w:rPr>
          <w:rFonts w:ascii="Source Sans Pro" w:hAnsi="Source Sans Pro"/>
          <w:sz w:val="22"/>
          <w:szCs w:val="22"/>
        </w:rPr>
      </w:pPr>
    </w:p>
    <w:p w14:paraId="66199EE5" w14:textId="77777777" w:rsidR="008134AB" w:rsidRDefault="008134AB" w:rsidP="008134AB">
      <w:pPr>
        <w:spacing w:before="80" w:after="80"/>
        <w:rPr>
          <w:rFonts w:ascii="Source Sans Pro" w:hAnsi="Source Sans Pro"/>
          <w:sz w:val="22"/>
          <w:szCs w:val="22"/>
        </w:rPr>
      </w:pPr>
    </w:p>
    <w:p w14:paraId="737F1F9F" w14:textId="77777777" w:rsidR="008134AB" w:rsidRDefault="008134AB" w:rsidP="008134AB">
      <w:pPr>
        <w:spacing w:before="80" w:after="80"/>
        <w:rPr>
          <w:rFonts w:ascii="Source Sans Pro" w:hAnsi="Source Sans Pro"/>
          <w:sz w:val="22"/>
          <w:szCs w:val="22"/>
        </w:rPr>
      </w:pPr>
    </w:p>
    <w:p w14:paraId="14BFBFB6" w14:textId="77777777" w:rsidR="008134AB" w:rsidRPr="008134AB" w:rsidRDefault="008134AB" w:rsidP="008134AB">
      <w:pPr>
        <w:spacing w:before="80" w:after="80"/>
        <w:rPr>
          <w:rFonts w:ascii="Source Sans Pro" w:hAnsi="Source Sans Pro"/>
          <w:sz w:val="22"/>
          <w:szCs w:val="22"/>
        </w:rPr>
      </w:pPr>
    </w:p>
    <w:p w14:paraId="158186E3" w14:textId="70C0730D" w:rsidR="00761DE5" w:rsidRPr="009A5B82" w:rsidRDefault="00761DE5" w:rsidP="009A5B82">
      <w:pPr>
        <w:spacing w:before="80" w:after="80"/>
        <w:rPr>
          <w:rFonts w:ascii="Source Sans Pro" w:hAnsi="Source Sans Pro"/>
          <w:sz w:val="22"/>
          <w:szCs w:val="22"/>
          <w:u w:val="single"/>
        </w:rPr>
      </w:pPr>
    </w:p>
    <w:sectPr w:rsidR="00761DE5" w:rsidRPr="009A5B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A52F3" w14:textId="77777777" w:rsidR="00F902C4" w:rsidRDefault="00F902C4" w:rsidP="002C4434">
      <w:r>
        <w:separator/>
      </w:r>
    </w:p>
  </w:endnote>
  <w:endnote w:type="continuationSeparator" w:id="0">
    <w:p w14:paraId="48D9329D" w14:textId="77777777" w:rsidR="00F902C4" w:rsidRDefault="00F902C4" w:rsidP="002C4434">
      <w:r>
        <w:continuationSeparator/>
      </w:r>
    </w:p>
  </w:endnote>
  <w:endnote w:type="continuationNotice" w:id="1">
    <w:p w14:paraId="38F7BAF6" w14:textId="77777777" w:rsidR="00F902C4" w:rsidRDefault="00F90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B7534" w14:textId="77777777" w:rsidR="00F902C4" w:rsidRDefault="00F902C4" w:rsidP="002C4434">
      <w:r>
        <w:separator/>
      </w:r>
    </w:p>
  </w:footnote>
  <w:footnote w:type="continuationSeparator" w:id="0">
    <w:p w14:paraId="38B4891B" w14:textId="77777777" w:rsidR="00F902C4" w:rsidRDefault="00F902C4" w:rsidP="002C4434">
      <w:r>
        <w:continuationSeparator/>
      </w:r>
    </w:p>
  </w:footnote>
  <w:footnote w:type="continuationNotice" w:id="1">
    <w:p w14:paraId="78876FD6" w14:textId="77777777" w:rsidR="00F902C4" w:rsidRDefault="00F902C4"/>
  </w:footnote>
  <w:footnote w:id="2">
    <w:p w14:paraId="7764765D" w14:textId="1EAD2D03" w:rsidR="00542B02" w:rsidRDefault="00542B02">
      <w:pPr>
        <w:pStyle w:val="FootnoteText"/>
      </w:pPr>
      <w:r>
        <w:rPr>
          <w:rStyle w:val="FootnoteReference"/>
        </w:rPr>
        <w:footnoteRef/>
      </w:r>
      <w:r>
        <w:t xml:space="preserve"> </w:t>
      </w:r>
      <w:r w:rsidR="00834637" w:rsidRPr="00826F0D">
        <w:rPr>
          <w:i/>
          <w:iCs/>
        </w:rPr>
        <w:t xml:space="preserve">Waratah Coal Pty Ltd v Youth Verdict Ltd &amp; </w:t>
      </w:r>
      <w:proofErr w:type="spellStart"/>
      <w:r w:rsidR="00834637" w:rsidRPr="00826F0D">
        <w:rPr>
          <w:i/>
          <w:iCs/>
        </w:rPr>
        <w:t>Ors</w:t>
      </w:r>
      <w:proofErr w:type="spellEnd"/>
      <w:r w:rsidR="00363C1B" w:rsidRPr="00826F0D">
        <w:rPr>
          <w:i/>
          <w:iCs/>
        </w:rPr>
        <w:t xml:space="preserve"> </w:t>
      </w:r>
      <w:r w:rsidR="00826F0D" w:rsidRPr="00826F0D">
        <w:rPr>
          <w:i/>
          <w:iCs/>
        </w:rPr>
        <w:t>(No 6)</w:t>
      </w:r>
      <w:r w:rsidR="00826F0D">
        <w:t xml:space="preserve"> [2022] QLC 21 </w:t>
      </w:r>
      <w:r w:rsidR="00834637">
        <w:t>a</w:t>
      </w:r>
      <w:r w:rsidR="00086A64">
        <w:t>t p42.</w:t>
      </w:r>
    </w:p>
  </w:footnote>
  <w:footnote w:id="3">
    <w:p w14:paraId="0AC78806" w14:textId="10B59AC4" w:rsidR="0099743A" w:rsidRDefault="0099743A">
      <w:pPr>
        <w:pStyle w:val="FootnoteText"/>
      </w:pPr>
      <w:r>
        <w:rPr>
          <w:rStyle w:val="FootnoteReference"/>
        </w:rPr>
        <w:footnoteRef/>
      </w:r>
      <w:r>
        <w:t xml:space="preserve"> At [649].</w:t>
      </w:r>
    </w:p>
  </w:footnote>
  <w:footnote w:id="4">
    <w:p w14:paraId="19317BFD" w14:textId="75C8F260" w:rsidR="00251207" w:rsidRPr="0088724C" w:rsidRDefault="00251207">
      <w:pPr>
        <w:pStyle w:val="FootnoteText"/>
      </w:pPr>
      <w:r>
        <w:rPr>
          <w:rStyle w:val="FootnoteReference"/>
        </w:rPr>
        <w:footnoteRef/>
      </w:r>
      <w:r>
        <w:t xml:space="preserve"> </w:t>
      </w:r>
      <w:r w:rsidR="0088724C" w:rsidRPr="008559EC">
        <w:rPr>
          <w:rFonts w:ascii="Source Sans Pro" w:hAnsi="Source Sans Pro"/>
          <w:i/>
          <w:iCs/>
          <w:sz w:val="22"/>
          <w:szCs w:val="22"/>
        </w:rPr>
        <w:t>Mineral Resources Act 1989</w:t>
      </w:r>
      <w:r w:rsidR="00826391">
        <w:rPr>
          <w:rFonts w:ascii="Source Sans Pro" w:hAnsi="Source Sans Pro"/>
          <w:i/>
          <w:iCs/>
          <w:sz w:val="22"/>
          <w:szCs w:val="22"/>
        </w:rPr>
        <w:t xml:space="preserve"> (Qld)</w:t>
      </w:r>
      <w:r w:rsidR="0088724C">
        <w:rPr>
          <w:rFonts w:ascii="Source Sans Pro" w:hAnsi="Source Sans Pro"/>
          <w:i/>
          <w:iCs/>
          <w:sz w:val="22"/>
          <w:szCs w:val="22"/>
        </w:rPr>
        <w:t xml:space="preserve">, </w:t>
      </w:r>
      <w:r w:rsidR="0088724C">
        <w:rPr>
          <w:rFonts w:ascii="Source Sans Pro" w:hAnsi="Source Sans Pro"/>
          <w:sz w:val="22"/>
          <w:szCs w:val="22"/>
        </w:rPr>
        <w:t>s8.</w:t>
      </w:r>
    </w:p>
  </w:footnote>
  <w:footnote w:id="5">
    <w:p w14:paraId="263C04F4" w14:textId="7479711C" w:rsidR="00FA7969" w:rsidRDefault="00FA7969">
      <w:pPr>
        <w:pStyle w:val="FootnoteText"/>
      </w:pPr>
      <w:r>
        <w:rPr>
          <w:rStyle w:val="FootnoteReference"/>
        </w:rPr>
        <w:footnoteRef/>
      </w:r>
      <w:r>
        <w:t xml:space="preserve"> </w:t>
      </w:r>
      <w:r w:rsidRPr="00FA7969">
        <w:rPr>
          <w:i/>
          <w:iCs/>
        </w:rPr>
        <w:t xml:space="preserve">Waratah Coal Pty Ltd v Youth Verdict Ltd &amp; </w:t>
      </w:r>
      <w:proofErr w:type="spellStart"/>
      <w:r w:rsidRPr="00FA7969">
        <w:rPr>
          <w:i/>
          <w:iCs/>
        </w:rPr>
        <w:t>Ors</w:t>
      </w:r>
      <w:proofErr w:type="spellEnd"/>
      <w:r w:rsidRPr="00FA7969">
        <w:t xml:space="preserve"> [2020] QLC 33</w:t>
      </w:r>
      <w:r w:rsidR="005E7724">
        <w:t>.</w:t>
      </w:r>
    </w:p>
  </w:footnote>
  <w:footnote w:id="6">
    <w:p w14:paraId="244C6679" w14:textId="71F53D46" w:rsidR="009B15AF" w:rsidRDefault="009B15AF" w:rsidP="009B15AF">
      <w:pPr>
        <w:pStyle w:val="FootnoteText"/>
      </w:pPr>
      <w:r>
        <w:rPr>
          <w:rStyle w:val="FootnoteReference"/>
        </w:rPr>
        <w:footnoteRef/>
      </w:r>
      <w:r>
        <w:t xml:space="preserve"> </w:t>
      </w:r>
      <w:r w:rsidRPr="00266F8A">
        <w:rPr>
          <w:i/>
          <w:iCs/>
        </w:rPr>
        <w:t xml:space="preserve">Waratah Coal Pty Ltd v Youth Verdict Ltd &amp; </w:t>
      </w:r>
      <w:proofErr w:type="spellStart"/>
      <w:r w:rsidRPr="00266F8A">
        <w:rPr>
          <w:i/>
          <w:iCs/>
        </w:rPr>
        <w:t>Ors</w:t>
      </w:r>
      <w:proofErr w:type="spellEnd"/>
      <w:r w:rsidRPr="00266F8A">
        <w:t xml:space="preserve"> </w:t>
      </w:r>
      <w:r w:rsidRPr="00266F8A">
        <w:rPr>
          <w:i/>
          <w:iCs/>
        </w:rPr>
        <w:t>(No 5)</w:t>
      </w:r>
      <w:r w:rsidRPr="00266F8A">
        <w:t xml:space="preserve"> [2022] QLC 4</w:t>
      </w:r>
      <w:r w:rsidR="005E7724">
        <w:t>.</w:t>
      </w:r>
    </w:p>
  </w:footnote>
  <w:footnote w:id="7">
    <w:p w14:paraId="7035D4EF" w14:textId="27D92667" w:rsidR="00D10526" w:rsidRDefault="00D10526">
      <w:pPr>
        <w:pStyle w:val="FootnoteText"/>
      </w:pPr>
      <w:r>
        <w:rPr>
          <w:rStyle w:val="FootnoteReference"/>
        </w:rPr>
        <w:footnoteRef/>
      </w:r>
      <w:r>
        <w:t xml:space="preserve"> At </w:t>
      </w:r>
      <w:r w:rsidR="00776ECE">
        <w:t>[1882].</w:t>
      </w:r>
    </w:p>
  </w:footnote>
  <w:footnote w:id="8">
    <w:p w14:paraId="5BE13C49" w14:textId="48B6DD64" w:rsidR="00051D9B" w:rsidRPr="009812A9" w:rsidRDefault="00051D9B" w:rsidP="00051D9B">
      <w:pPr>
        <w:pStyle w:val="FootnoteText"/>
        <w:rPr>
          <w:lang w:val="en-US"/>
        </w:rPr>
      </w:pPr>
      <w:r>
        <w:rPr>
          <w:rStyle w:val="FootnoteReference"/>
        </w:rPr>
        <w:footnoteRef/>
      </w:r>
      <w:r>
        <w:t xml:space="preserve"> </w:t>
      </w:r>
      <w:r w:rsidR="00F61D06">
        <w:t>At [1799]</w:t>
      </w:r>
      <w:proofErr w:type="gramStart"/>
      <w:r w:rsidR="00F61D06">
        <w:t>-[</w:t>
      </w:r>
      <w:proofErr w:type="gramEnd"/>
      <w:r w:rsidR="00F61D06">
        <w:t xml:space="preserve">1801], see </w:t>
      </w:r>
      <w:r w:rsidR="000E2497">
        <w:t>also</w:t>
      </w:r>
      <w:r w:rsidR="00DF637C">
        <w:t xml:space="preserve"> </w:t>
      </w:r>
      <w:r>
        <w:rPr>
          <w:lang w:val="en-US"/>
        </w:rPr>
        <w:t>[1655]</w:t>
      </w:r>
      <w:r w:rsidR="00077429">
        <w:rPr>
          <w:lang w:val="en-US"/>
        </w:rPr>
        <w:t>.</w:t>
      </w:r>
    </w:p>
  </w:footnote>
  <w:footnote w:id="9">
    <w:p w14:paraId="0E1A6851" w14:textId="3B963330" w:rsidR="00707474" w:rsidRPr="007B3C0C" w:rsidRDefault="00707474" w:rsidP="00707474">
      <w:pPr>
        <w:pStyle w:val="FootnoteText"/>
        <w:rPr>
          <w:lang w:val="en-US"/>
        </w:rPr>
      </w:pPr>
      <w:r>
        <w:rPr>
          <w:rStyle w:val="FootnoteReference"/>
        </w:rPr>
        <w:footnoteRef/>
      </w:r>
      <w:r>
        <w:t xml:space="preserve"> </w:t>
      </w:r>
      <w:r w:rsidR="00826391">
        <w:t xml:space="preserve">At </w:t>
      </w:r>
      <w:r>
        <w:rPr>
          <w:lang w:val="en-US"/>
        </w:rPr>
        <w:t>[1882]</w:t>
      </w:r>
      <w:r w:rsidR="000B6B7B">
        <w:rPr>
          <w:lang w:val="en-US"/>
        </w:rPr>
        <w:t>.</w:t>
      </w:r>
    </w:p>
  </w:footnote>
  <w:footnote w:id="10">
    <w:p w14:paraId="2620A14D" w14:textId="174AC157" w:rsidR="00707474" w:rsidRPr="0033489C" w:rsidRDefault="00707474" w:rsidP="00707474">
      <w:pPr>
        <w:pStyle w:val="FootnoteText"/>
        <w:rPr>
          <w:lang w:val="en-US"/>
        </w:rPr>
      </w:pPr>
      <w:r>
        <w:rPr>
          <w:rStyle w:val="FootnoteReference"/>
        </w:rPr>
        <w:footnoteRef/>
      </w:r>
      <w:r>
        <w:t xml:space="preserve"> </w:t>
      </w:r>
      <w:r w:rsidR="00826391">
        <w:t xml:space="preserve">At </w:t>
      </w:r>
      <w:r>
        <w:rPr>
          <w:lang w:val="en-US"/>
        </w:rPr>
        <w:t>[567]-[569]</w:t>
      </w:r>
      <w:r w:rsidR="000B6B7B">
        <w:rPr>
          <w:lang w:val="en-US"/>
        </w:rPr>
        <w:t>.</w:t>
      </w:r>
    </w:p>
  </w:footnote>
  <w:footnote w:id="11">
    <w:p w14:paraId="154FDCAF" w14:textId="29E7E818" w:rsidR="007E352A" w:rsidRDefault="007E352A" w:rsidP="007E352A">
      <w:pPr>
        <w:pStyle w:val="FootnoteText"/>
      </w:pPr>
      <w:r>
        <w:rPr>
          <w:rStyle w:val="FootnoteReference"/>
        </w:rPr>
        <w:footnoteRef/>
      </w:r>
      <w:r>
        <w:t xml:space="preserve"> </w:t>
      </w:r>
      <w:r w:rsidR="00826391">
        <w:t xml:space="preserve">At </w:t>
      </w:r>
      <w:r>
        <w:t>[273]</w:t>
      </w:r>
      <w:r w:rsidR="000B6B7B">
        <w:t>.</w:t>
      </w:r>
    </w:p>
  </w:footnote>
  <w:footnote w:id="12">
    <w:p w14:paraId="77DD4AB2" w14:textId="40BFB11E" w:rsidR="007E352A" w:rsidRDefault="007E352A" w:rsidP="007E352A">
      <w:pPr>
        <w:pStyle w:val="FootnoteText"/>
      </w:pPr>
      <w:r>
        <w:rPr>
          <w:rStyle w:val="FootnoteReference"/>
        </w:rPr>
        <w:footnoteRef/>
      </w:r>
      <w:r>
        <w:t xml:space="preserve"> </w:t>
      </w:r>
      <w:r w:rsidR="00826391">
        <w:t xml:space="preserve">At </w:t>
      </w:r>
      <w:r>
        <w:t>[344]</w:t>
      </w:r>
      <w:r w:rsidR="000B6B7B">
        <w:t>.</w:t>
      </w:r>
    </w:p>
  </w:footnote>
  <w:footnote w:id="13">
    <w:p w14:paraId="0E2C910A" w14:textId="14FAA1EB" w:rsidR="00886572" w:rsidRPr="006117B8" w:rsidRDefault="00886572" w:rsidP="00886572">
      <w:pPr>
        <w:pStyle w:val="FootnoteText"/>
        <w:rPr>
          <w:lang w:val="en-US"/>
        </w:rPr>
      </w:pPr>
      <w:r>
        <w:rPr>
          <w:rStyle w:val="FootnoteReference"/>
        </w:rPr>
        <w:footnoteRef/>
      </w:r>
      <w:r>
        <w:t xml:space="preserve"> </w:t>
      </w:r>
      <w:r w:rsidR="00826391">
        <w:t xml:space="preserve">At </w:t>
      </w:r>
      <w:r>
        <w:rPr>
          <w:lang w:val="en-US"/>
        </w:rPr>
        <w:t>[357]</w:t>
      </w:r>
      <w:r w:rsidR="000B6B7B">
        <w:rPr>
          <w:lang w:val="en-US"/>
        </w:rPr>
        <w:t>.</w:t>
      </w:r>
    </w:p>
  </w:footnote>
  <w:footnote w:id="14">
    <w:p w14:paraId="64AC8CA7" w14:textId="6E227BED" w:rsidR="009F4021" w:rsidRDefault="009F4021">
      <w:pPr>
        <w:pStyle w:val="FootnoteText"/>
      </w:pPr>
      <w:r>
        <w:rPr>
          <w:rStyle w:val="FootnoteReference"/>
        </w:rPr>
        <w:footnoteRef/>
      </w:r>
      <w:r>
        <w:t xml:space="preserve"> </w:t>
      </w:r>
      <w:r w:rsidR="00826391">
        <w:t xml:space="preserve">At </w:t>
      </w:r>
      <w:r w:rsidR="001404A3">
        <w:t>[302],</w:t>
      </w:r>
      <w:r w:rsidR="00DA3A16">
        <w:t xml:space="preserve"> [439]</w:t>
      </w:r>
      <w:r w:rsidR="0083389A">
        <w:t>,</w:t>
      </w:r>
      <w:r w:rsidR="001404A3">
        <w:t xml:space="preserve"> </w:t>
      </w:r>
      <w:r>
        <w:t>[443]</w:t>
      </w:r>
      <w:r w:rsidR="001404A3">
        <w:t xml:space="preserve"> and</w:t>
      </w:r>
      <w:r w:rsidR="001404A3" w:rsidRPr="001404A3">
        <w:t xml:space="preserve"> </w:t>
      </w:r>
      <w:r w:rsidR="001404A3">
        <w:t>[1855]</w:t>
      </w:r>
      <w:r w:rsidR="000B6B7B">
        <w:t>.</w:t>
      </w:r>
    </w:p>
  </w:footnote>
  <w:footnote w:id="15">
    <w:p w14:paraId="50AE8C25" w14:textId="5E430A82" w:rsidR="000B6B7B" w:rsidRPr="000B6B7B" w:rsidRDefault="000B6B7B">
      <w:pPr>
        <w:pStyle w:val="FootnoteText"/>
        <w:rPr>
          <w:lang w:val="en-US"/>
        </w:rPr>
      </w:pPr>
      <w:r>
        <w:rPr>
          <w:rStyle w:val="FootnoteReference"/>
        </w:rPr>
        <w:footnoteRef/>
      </w:r>
      <w:r>
        <w:t xml:space="preserve"> </w:t>
      </w:r>
      <w:r w:rsidR="003F4E23">
        <w:t xml:space="preserve">At </w:t>
      </w:r>
      <w:r>
        <w:rPr>
          <w:lang w:val="en-US"/>
        </w:rPr>
        <w:t>[1409]</w:t>
      </w:r>
      <w:r w:rsidR="003F4E23">
        <w:rPr>
          <w:lang w:val="en-US"/>
        </w:rPr>
        <w:t xml:space="preserve"> and [1793]</w:t>
      </w:r>
      <w:r>
        <w:rPr>
          <w:lang w:val="en-US"/>
        </w:rPr>
        <w:t>.</w:t>
      </w:r>
    </w:p>
  </w:footnote>
  <w:footnote w:id="16">
    <w:p w14:paraId="530B11DE" w14:textId="3BF91ED8" w:rsidR="00707474" w:rsidRDefault="00707474" w:rsidP="00707474">
      <w:pPr>
        <w:pStyle w:val="FootnoteText"/>
      </w:pPr>
      <w:r>
        <w:rPr>
          <w:rStyle w:val="FootnoteReference"/>
        </w:rPr>
        <w:footnoteRef/>
      </w:r>
      <w:r>
        <w:t xml:space="preserve"> </w:t>
      </w:r>
      <w:r w:rsidR="00826391">
        <w:t xml:space="preserve">At </w:t>
      </w:r>
      <w:r>
        <w:t>[1513]</w:t>
      </w:r>
      <w:r w:rsidR="000B6B7B">
        <w:t>.</w:t>
      </w:r>
    </w:p>
  </w:footnote>
  <w:footnote w:id="17">
    <w:p w14:paraId="6AB941BF" w14:textId="5F212619" w:rsidR="00707474" w:rsidRDefault="00707474" w:rsidP="00707474">
      <w:pPr>
        <w:pStyle w:val="FootnoteText"/>
      </w:pPr>
      <w:r>
        <w:rPr>
          <w:rStyle w:val="FootnoteReference"/>
        </w:rPr>
        <w:footnoteRef/>
      </w:r>
      <w:r>
        <w:t xml:space="preserve"> </w:t>
      </w:r>
      <w:r w:rsidR="00826391">
        <w:t xml:space="preserve">At </w:t>
      </w:r>
      <w:r>
        <w:t>[1603]</w:t>
      </w:r>
      <w:r w:rsidR="000B6B7B">
        <w:t>.</w:t>
      </w:r>
    </w:p>
  </w:footnote>
  <w:footnote w:id="18">
    <w:p w14:paraId="601C1CE5" w14:textId="69902AD6" w:rsidR="00707474" w:rsidRPr="00A57128" w:rsidRDefault="00707474" w:rsidP="00707474">
      <w:pPr>
        <w:pStyle w:val="FootnoteText"/>
        <w:rPr>
          <w:lang w:val="en-US"/>
        </w:rPr>
      </w:pPr>
      <w:r>
        <w:rPr>
          <w:rStyle w:val="FootnoteReference"/>
        </w:rPr>
        <w:footnoteRef/>
      </w:r>
      <w:r>
        <w:t xml:space="preserve"> </w:t>
      </w:r>
      <w:r w:rsidR="00826391">
        <w:t xml:space="preserve">At </w:t>
      </w:r>
      <w:r>
        <w:t>[1177]</w:t>
      </w:r>
      <w:r w:rsidR="00826391">
        <w:t xml:space="preserve">, </w:t>
      </w:r>
      <w:r>
        <w:rPr>
          <w:lang w:val="en-US"/>
        </w:rPr>
        <w:t>[1287] and [1786]</w:t>
      </w:r>
    </w:p>
  </w:footnote>
  <w:footnote w:id="19">
    <w:p w14:paraId="318D553C" w14:textId="2CE04AE4" w:rsidR="00707474" w:rsidRPr="00F464E7" w:rsidRDefault="00707474" w:rsidP="00707474">
      <w:pPr>
        <w:pStyle w:val="FootnoteText"/>
        <w:rPr>
          <w:lang w:val="en-US"/>
        </w:rPr>
      </w:pPr>
      <w:r>
        <w:rPr>
          <w:rStyle w:val="FootnoteReference"/>
        </w:rPr>
        <w:footnoteRef/>
      </w:r>
      <w:r>
        <w:t xml:space="preserve"> </w:t>
      </w:r>
      <w:r w:rsidR="00826391">
        <w:t xml:space="preserve">At </w:t>
      </w:r>
      <w:r>
        <w:t>[1799]</w:t>
      </w:r>
      <w:proofErr w:type="gramStart"/>
      <w:r>
        <w:t>-[</w:t>
      </w:r>
      <w:proofErr w:type="gramEnd"/>
      <w:r>
        <w:t>1801]</w:t>
      </w:r>
      <w:r w:rsidR="00826391">
        <w:t>.</w:t>
      </w:r>
    </w:p>
  </w:footnote>
  <w:footnote w:id="20">
    <w:p w14:paraId="160BA2AF" w14:textId="53843669" w:rsidR="00707474" w:rsidRPr="00275D43" w:rsidRDefault="00707474" w:rsidP="00707474">
      <w:pPr>
        <w:pStyle w:val="FootnoteText"/>
        <w:rPr>
          <w:lang w:val="en-US"/>
        </w:rPr>
      </w:pPr>
      <w:r>
        <w:rPr>
          <w:rStyle w:val="FootnoteReference"/>
        </w:rPr>
        <w:footnoteRef/>
      </w:r>
      <w:r>
        <w:t xml:space="preserve"> </w:t>
      </w:r>
      <w:r w:rsidR="00826391">
        <w:t xml:space="preserve">At </w:t>
      </w:r>
      <w:r>
        <w:rPr>
          <w:lang w:val="en-US"/>
        </w:rPr>
        <w:t>[45]</w:t>
      </w:r>
      <w:r w:rsidR="00826391">
        <w:rPr>
          <w:lang w:val="en-US"/>
        </w:rPr>
        <w:t>.</w:t>
      </w:r>
    </w:p>
  </w:footnote>
  <w:footnote w:id="21">
    <w:p w14:paraId="576CDCC7" w14:textId="12283E07" w:rsidR="00707474" w:rsidRPr="0036666B" w:rsidRDefault="00707474" w:rsidP="00707474">
      <w:pPr>
        <w:pStyle w:val="FootnoteText"/>
        <w:rPr>
          <w:lang w:val="en-US"/>
        </w:rPr>
      </w:pPr>
      <w:r>
        <w:rPr>
          <w:rStyle w:val="FootnoteReference"/>
        </w:rPr>
        <w:footnoteRef/>
      </w:r>
      <w:r>
        <w:t xml:space="preserve"> </w:t>
      </w:r>
      <w:r w:rsidR="00826391">
        <w:t xml:space="preserve">At </w:t>
      </w:r>
      <w:r>
        <w:rPr>
          <w:lang w:val="en-US"/>
        </w:rPr>
        <w:t>[1567]</w:t>
      </w:r>
      <w:r w:rsidR="00826391">
        <w:rPr>
          <w:lang w:val="en-US"/>
        </w:rPr>
        <w:t>.</w:t>
      </w:r>
    </w:p>
  </w:footnote>
  <w:footnote w:id="22">
    <w:p w14:paraId="7E802C33" w14:textId="6A217872" w:rsidR="001544A7" w:rsidRPr="003C5A6B" w:rsidRDefault="001544A7" w:rsidP="001544A7">
      <w:pPr>
        <w:pStyle w:val="FootnoteText"/>
        <w:rPr>
          <w:lang w:val="en-US"/>
        </w:rPr>
      </w:pPr>
      <w:r>
        <w:rPr>
          <w:rStyle w:val="FootnoteReference"/>
        </w:rPr>
        <w:footnoteRef/>
      </w:r>
      <w:r>
        <w:t xml:space="preserve"> </w:t>
      </w:r>
      <w:r w:rsidR="004054B2" w:rsidRPr="004054B2">
        <w:t xml:space="preserve">At </w:t>
      </w:r>
      <w:r w:rsidRPr="003C5A6B">
        <w:t>[1371]</w:t>
      </w:r>
      <w:r>
        <w:t xml:space="preserve"> see also [26] and [668].</w:t>
      </w:r>
    </w:p>
  </w:footnote>
  <w:footnote w:id="23">
    <w:p w14:paraId="36D52708" w14:textId="77777777" w:rsidR="00BC74C1" w:rsidRPr="008A6D36" w:rsidRDefault="00BC74C1" w:rsidP="00BC74C1">
      <w:pPr>
        <w:pStyle w:val="FootnoteText"/>
        <w:rPr>
          <w:rFonts w:ascii="Source Sans Pro" w:hAnsi="Source Sans Pro"/>
          <w:lang w:val="en-GB"/>
        </w:rPr>
      </w:pPr>
      <w:r w:rsidRPr="008A6D36">
        <w:rPr>
          <w:rStyle w:val="FootnoteReference"/>
          <w:rFonts w:ascii="Source Sans Pro" w:hAnsi="Source Sans Pro"/>
        </w:rPr>
        <w:footnoteRef/>
      </w:r>
      <w:r w:rsidRPr="008A6D36">
        <w:rPr>
          <w:rFonts w:ascii="Source Sans Pro" w:hAnsi="Source Sans Pro"/>
        </w:rPr>
        <w:t xml:space="preserve"> </w:t>
      </w:r>
      <w:r>
        <w:rPr>
          <w:rFonts w:ascii="Source Sans Pro" w:hAnsi="Source Sans Pro"/>
          <w:lang w:val="en-GB"/>
        </w:rPr>
        <w:t>At</w:t>
      </w:r>
      <w:r w:rsidRPr="008A6D36">
        <w:rPr>
          <w:rFonts w:ascii="Source Sans Pro" w:hAnsi="Source Sans Pro"/>
          <w:lang w:val="en-GB"/>
        </w:rPr>
        <w:t xml:space="preserve"> [713]</w:t>
      </w:r>
      <w:r>
        <w:rPr>
          <w:rFonts w:ascii="Source Sans Pro" w:hAnsi="Source Sans Pro"/>
          <w:lang w:val="en-GB"/>
        </w:rPr>
        <w:t xml:space="preserve"> see also the submission to the same effect recorded at [1307].</w:t>
      </w:r>
    </w:p>
  </w:footnote>
  <w:footnote w:id="24">
    <w:p w14:paraId="5115C16E" w14:textId="58DB532D" w:rsidR="0034036F" w:rsidRDefault="0034036F">
      <w:pPr>
        <w:pStyle w:val="FootnoteText"/>
      </w:pPr>
      <w:r>
        <w:rPr>
          <w:rStyle w:val="FootnoteReference"/>
        </w:rPr>
        <w:footnoteRef/>
      </w:r>
      <w:r>
        <w:t xml:space="preserve"> At [177]-[1</w:t>
      </w:r>
      <w:r w:rsidR="000E752E">
        <w:t>93</w:t>
      </w:r>
      <w:r>
        <w:t>]</w:t>
      </w:r>
      <w:r w:rsidR="000E2497">
        <w:t>.</w:t>
      </w:r>
    </w:p>
  </w:footnote>
  <w:footnote w:id="25">
    <w:p w14:paraId="34DB2ED0" w14:textId="386B620B" w:rsidR="00067367" w:rsidRPr="00067367" w:rsidRDefault="00067367">
      <w:pPr>
        <w:pStyle w:val="FootnoteText"/>
        <w:rPr>
          <w:lang w:val="en-US"/>
        </w:rPr>
      </w:pPr>
      <w:r>
        <w:rPr>
          <w:rStyle w:val="FootnoteReference"/>
        </w:rPr>
        <w:footnoteRef/>
      </w:r>
      <w:r>
        <w:t xml:space="preserve"> </w:t>
      </w:r>
      <w:r>
        <w:rPr>
          <w:lang w:val="en-US"/>
        </w:rPr>
        <w:t>See</w:t>
      </w:r>
      <w:r w:rsidR="000428D1">
        <w:rPr>
          <w:lang w:val="en-US"/>
        </w:rPr>
        <w:t xml:space="preserve"> </w:t>
      </w:r>
      <w:r w:rsidR="005C3446">
        <w:rPr>
          <w:lang w:val="en-US"/>
        </w:rPr>
        <w:t>[350]-</w:t>
      </w:r>
      <w:r w:rsidR="007B03B2">
        <w:rPr>
          <w:lang w:val="en-US"/>
        </w:rPr>
        <w:t xml:space="preserve">[351], </w:t>
      </w:r>
      <w:r w:rsidR="000428D1">
        <w:rPr>
          <w:lang w:val="en-US"/>
        </w:rPr>
        <w:t>[405],</w:t>
      </w:r>
      <w:r>
        <w:rPr>
          <w:lang w:val="en-US"/>
        </w:rPr>
        <w:t xml:space="preserve"> </w:t>
      </w:r>
      <w:r w:rsidR="000913FD">
        <w:rPr>
          <w:lang w:val="en-US"/>
        </w:rPr>
        <w:t>[54</w:t>
      </w:r>
      <w:r w:rsidR="0012476A">
        <w:rPr>
          <w:lang w:val="en-US"/>
        </w:rPr>
        <w:t>5</w:t>
      </w:r>
      <w:r w:rsidR="000913FD">
        <w:rPr>
          <w:lang w:val="en-US"/>
        </w:rPr>
        <w:t>]-</w:t>
      </w:r>
      <w:r w:rsidR="003C64DC">
        <w:rPr>
          <w:lang w:val="en-US"/>
        </w:rPr>
        <w:t>[</w:t>
      </w:r>
      <w:r w:rsidR="007E7E7A">
        <w:rPr>
          <w:lang w:val="en-US"/>
        </w:rPr>
        <w:t>552</w:t>
      </w:r>
      <w:r w:rsidR="003C64DC">
        <w:rPr>
          <w:lang w:val="en-US"/>
        </w:rPr>
        <w:t xml:space="preserve">], </w:t>
      </w:r>
      <w:r>
        <w:rPr>
          <w:lang w:val="en-US"/>
        </w:rPr>
        <w:t>[</w:t>
      </w:r>
      <w:r w:rsidR="001E297C">
        <w:rPr>
          <w:lang w:val="en-US"/>
        </w:rPr>
        <w:t>1853]</w:t>
      </w:r>
      <w:r w:rsidR="007B03B2">
        <w:rPr>
          <w:lang w:val="en-US"/>
        </w:rPr>
        <w:t xml:space="preserve"> and</w:t>
      </w:r>
      <w:r w:rsidR="001E297C">
        <w:rPr>
          <w:lang w:val="en-US"/>
        </w:rPr>
        <w:t xml:space="preserve"> [1866]</w:t>
      </w:r>
      <w:r w:rsidR="007B03B2">
        <w:rPr>
          <w:lang w:val="en-US"/>
        </w:rPr>
        <w:t>.</w:t>
      </w:r>
    </w:p>
  </w:footnote>
  <w:footnote w:id="26">
    <w:p w14:paraId="7218B220" w14:textId="2116951E" w:rsidR="00BC3852" w:rsidRDefault="00BC3852">
      <w:pPr>
        <w:pStyle w:val="FootnoteText"/>
      </w:pPr>
      <w:r>
        <w:rPr>
          <w:rStyle w:val="FootnoteReference"/>
        </w:rPr>
        <w:footnoteRef/>
      </w:r>
      <w:r>
        <w:t xml:space="preserve"> </w:t>
      </w:r>
      <w:r w:rsidR="004054B2">
        <w:t xml:space="preserve">At </w:t>
      </w:r>
      <w:r w:rsidR="00065464">
        <w:t>[554]</w:t>
      </w:r>
      <w:r w:rsidR="00661E75">
        <w:t>-[561].</w:t>
      </w:r>
    </w:p>
  </w:footnote>
  <w:footnote w:id="27">
    <w:p w14:paraId="30A8B42B" w14:textId="0565448C" w:rsidR="008D4700" w:rsidRDefault="008D4700">
      <w:pPr>
        <w:pStyle w:val="FootnoteText"/>
      </w:pPr>
      <w:r>
        <w:rPr>
          <w:rStyle w:val="FootnoteReference"/>
        </w:rPr>
        <w:footnoteRef/>
      </w:r>
      <w:r>
        <w:t xml:space="preserve"> </w:t>
      </w:r>
      <w:r w:rsidR="00642C81">
        <w:t>At [459]-[471].</w:t>
      </w:r>
    </w:p>
  </w:footnote>
  <w:footnote w:id="28">
    <w:p w14:paraId="59387CF1" w14:textId="49C6D7A3" w:rsidR="00B317E2" w:rsidRDefault="00B317E2">
      <w:pPr>
        <w:pStyle w:val="FootnoteText"/>
      </w:pPr>
      <w:r>
        <w:rPr>
          <w:rStyle w:val="FootnoteReference"/>
        </w:rPr>
        <w:footnoteRef/>
      </w:r>
      <w:r>
        <w:t xml:space="preserve"> </w:t>
      </w:r>
      <w:r w:rsidR="00077429">
        <w:t>At</w:t>
      </w:r>
      <w:r>
        <w:t xml:space="preserve"> </w:t>
      </w:r>
      <w:r w:rsidR="008D4700">
        <w:t>[454]</w:t>
      </w:r>
      <w:r w:rsidR="00077429">
        <w:t>.</w:t>
      </w:r>
    </w:p>
  </w:footnote>
  <w:footnote w:id="29">
    <w:p w14:paraId="2A0EC64F" w14:textId="6BB4DC4F" w:rsidR="001E005A" w:rsidRDefault="001E005A">
      <w:pPr>
        <w:pStyle w:val="FootnoteText"/>
      </w:pPr>
      <w:r>
        <w:rPr>
          <w:rStyle w:val="FootnoteReference"/>
        </w:rPr>
        <w:footnoteRef/>
      </w:r>
      <w:r>
        <w:t xml:space="preserve"> At [</w:t>
      </w:r>
      <w:r w:rsidR="009A60F8">
        <w:t>517]-</w:t>
      </w:r>
      <w:r w:rsidR="00950445">
        <w:t>[520].</w:t>
      </w:r>
    </w:p>
  </w:footnote>
  <w:footnote w:id="30">
    <w:p w14:paraId="47AC8D23" w14:textId="53073055" w:rsidR="00E01437" w:rsidRDefault="00E01437">
      <w:pPr>
        <w:pStyle w:val="FootnoteText"/>
      </w:pPr>
      <w:r>
        <w:rPr>
          <w:rStyle w:val="FootnoteReference"/>
        </w:rPr>
        <w:footnoteRef/>
      </w:r>
      <w:r>
        <w:t xml:space="preserve"> At </w:t>
      </w:r>
      <w:r w:rsidR="002B6615">
        <w:t>[561]</w:t>
      </w:r>
      <w:r w:rsidR="00AA3E2D">
        <w:t>, [564]-[565]</w:t>
      </w:r>
      <w:r w:rsidR="002B6615">
        <w:t>.</w:t>
      </w:r>
    </w:p>
  </w:footnote>
  <w:footnote w:id="31">
    <w:p w14:paraId="23CAE204" w14:textId="33A80A11" w:rsidR="001D5EE5" w:rsidRDefault="001D5EE5">
      <w:pPr>
        <w:pStyle w:val="FootnoteText"/>
      </w:pPr>
      <w:r>
        <w:rPr>
          <w:rStyle w:val="FootnoteReference"/>
        </w:rPr>
        <w:footnoteRef/>
      </w:r>
      <w:r>
        <w:t xml:space="preserve"> </w:t>
      </w:r>
      <w:r w:rsidR="004054B2">
        <w:t xml:space="preserve">At </w:t>
      </w:r>
      <w:r>
        <w:t>[569].</w:t>
      </w:r>
    </w:p>
  </w:footnote>
  <w:footnote w:id="32">
    <w:p w14:paraId="3C0B55C5" w14:textId="0C657ED3" w:rsidR="00C63ADD" w:rsidRPr="008A6D36" w:rsidRDefault="00C63ADD" w:rsidP="00C63ADD">
      <w:pPr>
        <w:pStyle w:val="FootnoteText"/>
        <w:rPr>
          <w:rFonts w:ascii="Source Sans Pro" w:hAnsi="Source Sans Pro"/>
          <w:lang w:val="en-GB"/>
        </w:rPr>
      </w:pPr>
      <w:r w:rsidRPr="008A6D36">
        <w:rPr>
          <w:rStyle w:val="FootnoteReference"/>
          <w:rFonts w:ascii="Source Sans Pro" w:hAnsi="Source Sans Pro"/>
        </w:rPr>
        <w:footnoteRef/>
      </w:r>
      <w:r w:rsidRPr="008A6D36">
        <w:rPr>
          <w:rFonts w:ascii="Source Sans Pro" w:hAnsi="Source Sans Pro"/>
        </w:rPr>
        <w:t xml:space="preserve"> </w:t>
      </w:r>
      <w:r w:rsidR="004054B2">
        <w:t xml:space="preserve">At </w:t>
      </w:r>
      <w:r w:rsidRPr="008A6D36">
        <w:rPr>
          <w:rFonts w:ascii="Source Sans Pro" w:hAnsi="Source Sans Pro"/>
          <w:lang w:val="en-GB"/>
        </w:rPr>
        <w:t xml:space="preserve">[569]. </w:t>
      </w:r>
    </w:p>
  </w:footnote>
  <w:footnote w:id="33">
    <w:p w14:paraId="747D9FE0" w14:textId="2A2E5445" w:rsidR="007C3147" w:rsidRDefault="007C3147">
      <w:pPr>
        <w:pStyle w:val="FootnoteText"/>
      </w:pPr>
      <w:r>
        <w:rPr>
          <w:rStyle w:val="FootnoteReference"/>
        </w:rPr>
        <w:footnoteRef/>
      </w:r>
      <w:r>
        <w:t xml:space="preserve"> </w:t>
      </w:r>
      <w:r w:rsidR="004054B2">
        <w:t xml:space="preserve">At </w:t>
      </w:r>
      <w:r w:rsidR="00490592">
        <w:t>[1352].</w:t>
      </w:r>
    </w:p>
  </w:footnote>
  <w:footnote w:id="34">
    <w:p w14:paraId="07214B73" w14:textId="28D285E5" w:rsidR="001F01DB" w:rsidRPr="001F01DB" w:rsidRDefault="001F01DB">
      <w:pPr>
        <w:pStyle w:val="FootnoteText"/>
        <w:rPr>
          <w:lang w:val="en-US"/>
        </w:rPr>
      </w:pPr>
      <w:r>
        <w:rPr>
          <w:rStyle w:val="FootnoteReference"/>
        </w:rPr>
        <w:footnoteRef/>
      </w:r>
      <w:r>
        <w:t xml:space="preserve"> </w:t>
      </w:r>
      <w:r w:rsidR="004054B2">
        <w:t xml:space="preserve">At </w:t>
      </w:r>
      <w:r w:rsidR="00324233">
        <w:rPr>
          <w:lang w:val="en-US"/>
        </w:rPr>
        <w:t>[717].</w:t>
      </w:r>
    </w:p>
  </w:footnote>
  <w:footnote w:id="35">
    <w:p w14:paraId="3A6F70BB" w14:textId="074EC85A" w:rsidR="002F3EE4" w:rsidRPr="0000308C" w:rsidRDefault="002F3EE4">
      <w:pPr>
        <w:pStyle w:val="FootnoteText"/>
        <w:rPr>
          <w:lang w:val="en-US"/>
        </w:rPr>
      </w:pPr>
      <w:r>
        <w:rPr>
          <w:rStyle w:val="FootnoteReference"/>
        </w:rPr>
        <w:footnoteRef/>
      </w:r>
      <w:r>
        <w:t xml:space="preserve"> </w:t>
      </w:r>
      <w:r w:rsidR="004054B2">
        <w:t xml:space="preserve">At </w:t>
      </w:r>
      <w:r w:rsidR="00261E50">
        <w:rPr>
          <w:lang w:val="en-US"/>
        </w:rPr>
        <w:t>[595]</w:t>
      </w:r>
      <w:r w:rsidR="0029665B">
        <w:rPr>
          <w:lang w:val="en-US"/>
        </w:rPr>
        <w:t>.</w:t>
      </w:r>
    </w:p>
  </w:footnote>
  <w:footnote w:id="36">
    <w:p w14:paraId="310941E0" w14:textId="4A87F880" w:rsidR="00A744B7" w:rsidRPr="0000308C" w:rsidRDefault="00A744B7">
      <w:pPr>
        <w:pStyle w:val="FootnoteText"/>
        <w:rPr>
          <w:lang w:val="en-US"/>
        </w:rPr>
      </w:pPr>
      <w:r>
        <w:rPr>
          <w:rStyle w:val="FootnoteReference"/>
        </w:rPr>
        <w:footnoteRef/>
      </w:r>
      <w:r>
        <w:t xml:space="preserve"> </w:t>
      </w:r>
      <w:r w:rsidR="004054B2">
        <w:t xml:space="preserve">At </w:t>
      </w:r>
      <w:r w:rsidR="008C433B">
        <w:rPr>
          <w:lang w:val="en-US"/>
        </w:rPr>
        <w:t>[596]</w:t>
      </w:r>
      <w:r w:rsidR="0029665B">
        <w:rPr>
          <w:lang w:val="en-US"/>
        </w:rPr>
        <w:t>.</w:t>
      </w:r>
    </w:p>
  </w:footnote>
  <w:footnote w:id="37">
    <w:p w14:paraId="6F39C0E6" w14:textId="2A404BC8" w:rsidR="004F040C" w:rsidRDefault="004F040C">
      <w:pPr>
        <w:pStyle w:val="FootnoteText"/>
      </w:pPr>
      <w:r>
        <w:rPr>
          <w:rStyle w:val="FootnoteReference"/>
        </w:rPr>
        <w:footnoteRef/>
      </w:r>
      <w:r>
        <w:t xml:space="preserve"> See [785]-[786].</w:t>
      </w:r>
    </w:p>
  </w:footnote>
  <w:footnote w:id="38">
    <w:p w14:paraId="253F49FB" w14:textId="3B6A32E4" w:rsidR="00DC21DB" w:rsidRDefault="00DC21DB">
      <w:pPr>
        <w:pStyle w:val="FootnoteText"/>
      </w:pPr>
      <w:r>
        <w:rPr>
          <w:rStyle w:val="FootnoteReference"/>
        </w:rPr>
        <w:footnoteRef/>
      </w:r>
      <w:r>
        <w:t xml:space="preserve"> </w:t>
      </w:r>
      <w:r w:rsidR="00183E40">
        <w:t>At [784]</w:t>
      </w:r>
      <w:r w:rsidR="00982928">
        <w:t xml:space="preserve"> and </w:t>
      </w:r>
      <w:r w:rsidR="00926A63">
        <w:t>[954].</w:t>
      </w:r>
    </w:p>
  </w:footnote>
  <w:footnote w:id="39">
    <w:p w14:paraId="38A482EB" w14:textId="68A25232" w:rsidR="00AD7281" w:rsidRDefault="00AD7281">
      <w:pPr>
        <w:pStyle w:val="FootnoteText"/>
      </w:pPr>
      <w:r>
        <w:rPr>
          <w:rStyle w:val="FootnoteReference"/>
        </w:rPr>
        <w:footnoteRef/>
      </w:r>
      <w:r>
        <w:t xml:space="preserve"> At </w:t>
      </w:r>
      <w:r w:rsidR="00355476">
        <w:t xml:space="preserve">[962] and </w:t>
      </w:r>
      <w:r w:rsidR="003D5AB5">
        <w:t>[986].</w:t>
      </w:r>
    </w:p>
  </w:footnote>
  <w:footnote w:id="40">
    <w:p w14:paraId="68B86971" w14:textId="3AA0C365" w:rsidR="005B6FB2" w:rsidRDefault="005B6FB2">
      <w:pPr>
        <w:pStyle w:val="FootnoteText"/>
      </w:pPr>
      <w:r>
        <w:rPr>
          <w:rStyle w:val="FootnoteReference"/>
        </w:rPr>
        <w:footnoteRef/>
      </w:r>
      <w:r>
        <w:t xml:space="preserve"> At [</w:t>
      </w:r>
      <w:r w:rsidR="00BC06EA">
        <w:t>1006]</w:t>
      </w:r>
      <w:r w:rsidR="00152579">
        <w:t>, [1010].</w:t>
      </w:r>
    </w:p>
  </w:footnote>
  <w:footnote w:id="41">
    <w:p w14:paraId="285FB100" w14:textId="1CFE1C15" w:rsidR="00441B7C" w:rsidRDefault="00441B7C">
      <w:pPr>
        <w:pStyle w:val="FootnoteText"/>
      </w:pPr>
      <w:r>
        <w:rPr>
          <w:rStyle w:val="FootnoteReference"/>
        </w:rPr>
        <w:footnoteRef/>
      </w:r>
      <w:r>
        <w:t xml:space="preserve"> At [787]-[790]</w:t>
      </w:r>
      <w:r w:rsidR="00051B39">
        <w:t xml:space="preserve"> with reference to </w:t>
      </w:r>
      <w:r w:rsidR="00A2600F">
        <w:rPr>
          <w:i/>
          <w:iCs/>
        </w:rPr>
        <w:t xml:space="preserve">Gloucester Resources Ltd v Minister for Planning </w:t>
      </w:r>
      <w:r w:rsidR="00A2600F">
        <w:t xml:space="preserve">(2019) 234 LGERA 257 at [545], </w:t>
      </w:r>
      <w:r w:rsidR="00A2600F">
        <w:rPr>
          <w:i/>
          <w:iCs/>
        </w:rPr>
        <w:t xml:space="preserve">KEPCO Bylong Australia Pty Ltd v Bylong Valley Protection Alliance Inc </w:t>
      </w:r>
      <w:r w:rsidR="00A2600F">
        <w:t>[2021] NSWCA 216 at [81</w:t>
      </w:r>
      <w:proofErr w:type="gramStart"/>
      <w:r w:rsidR="00A2600F">
        <w:t>]</w:t>
      </w:r>
      <w:r w:rsidR="00561458">
        <w:t>,</w:t>
      </w:r>
      <w:r w:rsidR="00A2600F">
        <w:t xml:space="preserve">  </w:t>
      </w:r>
      <w:r w:rsidR="00561458" w:rsidRPr="00E07B73">
        <w:rPr>
          <w:i/>
          <w:iCs/>
        </w:rPr>
        <w:t>Minister</w:t>
      </w:r>
      <w:proofErr w:type="gramEnd"/>
      <w:r w:rsidR="00561458" w:rsidRPr="00E07B73">
        <w:rPr>
          <w:i/>
          <w:iCs/>
        </w:rPr>
        <w:t xml:space="preserve"> for Environment v Sharma</w:t>
      </w:r>
      <w:r w:rsidR="00561458">
        <w:t xml:space="preserve"> (2022) 400 ALR 203 </w:t>
      </w:r>
      <w:r w:rsidR="0075044B">
        <w:t>at</w:t>
      </w:r>
      <w:r w:rsidR="00561458">
        <w:t xml:space="preserve"> [285].</w:t>
      </w:r>
      <w:r w:rsidR="00B21B97">
        <w:t xml:space="preserve">  See also </w:t>
      </w:r>
      <w:r w:rsidR="00F06D1C">
        <w:t xml:space="preserve">Bell-James and Ryan (2016), </w:t>
      </w:r>
      <w:r w:rsidR="00F06D1C" w:rsidRPr="00896C6F">
        <w:rPr>
          <w:i/>
          <w:iCs/>
        </w:rPr>
        <w:t>Climate Change Litigation in Queensland: a case study in incrementalism</w:t>
      </w:r>
      <w:r w:rsidR="00C7159B">
        <w:t>, 33(6) EPLJ 515</w:t>
      </w:r>
      <w:r w:rsidR="00773855">
        <w:t>-537</w:t>
      </w:r>
      <w:r w:rsidR="00C7159B">
        <w:t>.</w:t>
      </w:r>
    </w:p>
  </w:footnote>
  <w:footnote w:id="42">
    <w:p w14:paraId="187E4A47" w14:textId="21AFE71F" w:rsidR="003340BE" w:rsidRPr="0000308C" w:rsidRDefault="003340BE">
      <w:pPr>
        <w:pStyle w:val="FootnoteText"/>
        <w:rPr>
          <w:lang w:val="en-US"/>
        </w:rPr>
      </w:pPr>
      <w:r>
        <w:rPr>
          <w:rStyle w:val="FootnoteReference"/>
        </w:rPr>
        <w:footnoteRef/>
      </w:r>
      <w:r>
        <w:t xml:space="preserve"> </w:t>
      </w:r>
      <w:r w:rsidR="004054B2">
        <w:t xml:space="preserve">At </w:t>
      </w:r>
      <w:r w:rsidR="004C777C">
        <w:rPr>
          <w:lang w:val="en-US"/>
        </w:rPr>
        <w:t>[865]-</w:t>
      </w:r>
      <w:r w:rsidR="009455B0">
        <w:rPr>
          <w:lang w:val="en-US"/>
        </w:rPr>
        <w:t>[867]</w:t>
      </w:r>
      <w:r w:rsidR="001E7B35">
        <w:rPr>
          <w:lang w:val="en-US"/>
        </w:rPr>
        <w:t xml:space="preserve">, </w:t>
      </w:r>
      <w:r w:rsidR="00BA7CDD">
        <w:rPr>
          <w:lang w:val="en-US"/>
        </w:rPr>
        <w:t>[883]</w:t>
      </w:r>
      <w:r w:rsidR="004054B2">
        <w:rPr>
          <w:lang w:val="en-US"/>
        </w:rPr>
        <w:t>.</w:t>
      </w:r>
    </w:p>
  </w:footnote>
  <w:footnote w:id="43">
    <w:p w14:paraId="41426F1A" w14:textId="74424C0D" w:rsidR="001325B5" w:rsidRPr="0000308C" w:rsidRDefault="001325B5">
      <w:pPr>
        <w:pStyle w:val="FootnoteText"/>
        <w:rPr>
          <w:lang w:val="en-US"/>
        </w:rPr>
      </w:pPr>
      <w:r>
        <w:rPr>
          <w:rStyle w:val="FootnoteReference"/>
        </w:rPr>
        <w:footnoteRef/>
      </w:r>
      <w:r>
        <w:t xml:space="preserve"> </w:t>
      </w:r>
      <w:r w:rsidR="004054B2">
        <w:t xml:space="preserve">At </w:t>
      </w:r>
      <w:r>
        <w:rPr>
          <w:lang w:val="en-US"/>
        </w:rPr>
        <w:t>[905]-</w:t>
      </w:r>
      <w:r w:rsidR="00D43E01">
        <w:rPr>
          <w:lang w:val="en-US"/>
        </w:rPr>
        <w:t>[</w:t>
      </w:r>
      <w:r>
        <w:rPr>
          <w:lang w:val="en-US"/>
        </w:rPr>
        <w:t>921</w:t>
      </w:r>
      <w:r w:rsidR="00D43E01">
        <w:rPr>
          <w:lang w:val="en-US"/>
        </w:rPr>
        <w:t>]</w:t>
      </w:r>
      <w:r w:rsidR="004054B2">
        <w:rPr>
          <w:lang w:val="en-US"/>
        </w:rPr>
        <w:t>.</w:t>
      </w:r>
    </w:p>
  </w:footnote>
  <w:footnote w:id="44">
    <w:p w14:paraId="2EDBB76C" w14:textId="7F44DCAA" w:rsidR="00123C70" w:rsidRDefault="00123C70">
      <w:pPr>
        <w:pStyle w:val="FootnoteText"/>
      </w:pPr>
      <w:r>
        <w:rPr>
          <w:rStyle w:val="FootnoteReference"/>
        </w:rPr>
        <w:footnoteRef/>
      </w:r>
      <w:r>
        <w:t xml:space="preserve"> </w:t>
      </w:r>
      <w:r w:rsidR="004054B2">
        <w:t xml:space="preserve">At </w:t>
      </w:r>
      <w:r w:rsidR="00AD1D88">
        <w:t>[860]</w:t>
      </w:r>
      <w:r w:rsidR="004054B2">
        <w:t>.</w:t>
      </w:r>
    </w:p>
  </w:footnote>
  <w:footnote w:id="45">
    <w:p w14:paraId="08187B1B" w14:textId="423E4F41" w:rsidR="00C35046" w:rsidRDefault="00C35046">
      <w:pPr>
        <w:pStyle w:val="FootnoteText"/>
      </w:pPr>
      <w:r>
        <w:rPr>
          <w:rStyle w:val="FootnoteReference"/>
        </w:rPr>
        <w:footnoteRef/>
      </w:r>
      <w:r>
        <w:t xml:space="preserve"> </w:t>
      </w:r>
      <w:r w:rsidR="004054B2">
        <w:t xml:space="preserve">At </w:t>
      </w:r>
      <w:r w:rsidR="00AC6EC1">
        <w:t>[866]</w:t>
      </w:r>
      <w:r w:rsidR="004054B2">
        <w:t>.</w:t>
      </w:r>
    </w:p>
  </w:footnote>
  <w:footnote w:id="46">
    <w:p w14:paraId="2AFD781C" w14:textId="084B0CFF" w:rsidR="00491E2A" w:rsidRDefault="00491E2A">
      <w:pPr>
        <w:pStyle w:val="FootnoteText"/>
      </w:pPr>
      <w:r>
        <w:rPr>
          <w:rStyle w:val="FootnoteReference"/>
        </w:rPr>
        <w:footnoteRef/>
      </w:r>
      <w:r>
        <w:t xml:space="preserve"> </w:t>
      </w:r>
      <w:r w:rsidR="004054B2">
        <w:t xml:space="preserve">At </w:t>
      </w:r>
      <w:r>
        <w:t>[866]</w:t>
      </w:r>
      <w:r w:rsidR="004054B2">
        <w:t>.</w:t>
      </w:r>
    </w:p>
  </w:footnote>
  <w:footnote w:id="47">
    <w:p w14:paraId="47C120C7" w14:textId="13CF06F8" w:rsidR="006438AF" w:rsidRDefault="006438AF">
      <w:pPr>
        <w:pStyle w:val="FootnoteText"/>
      </w:pPr>
      <w:r>
        <w:rPr>
          <w:rStyle w:val="FootnoteReference"/>
        </w:rPr>
        <w:footnoteRef/>
      </w:r>
      <w:r>
        <w:t xml:space="preserve"> </w:t>
      </w:r>
      <w:r w:rsidR="004054B2">
        <w:t xml:space="preserve">At </w:t>
      </w:r>
      <w:r w:rsidR="009D36A3">
        <w:t>[873]</w:t>
      </w:r>
      <w:r w:rsidR="00C874DE">
        <w:t xml:space="preserve"> and [880]</w:t>
      </w:r>
      <w:r w:rsidR="004054B2">
        <w:t>.</w:t>
      </w:r>
    </w:p>
  </w:footnote>
  <w:footnote w:id="48">
    <w:p w14:paraId="79A7FEBF" w14:textId="503812FF" w:rsidR="006812B9" w:rsidRPr="0000308C" w:rsidRDefault="006812B9">
      <w:pPr>
        <w:pStyle w:val="FootnoteText"/>
        <w:rPr>
          <w:lang w:val="en-US"/>
        </w:rPr>
      </w:pPr>
      <w:r>
        <w:rPr>
          <w:rStyle w:val="FootnoteReference"/>
        </w:rPr>
        <w:footnoteRef/>
      </w:r>
      <w:r>
        <w:t xml:space="preserve"> </w:t>
      </w:r>
      <w:r w:rsidR="004054B2">
        <w:t xml:space="preserve">At </w:t>
      </w:r>
      <w:r w:rsidR="00FA638E">
        <w:rPr>
          <w:lang w:val="en-US"/>
        </w:rPr>
        <w:t>[847]-[849].</w:t>
      </w:r>
    </w:p>
  </w:footnote>
  <w:footnote w:id="49">
    <w:p w14:paraId="3138387C" w14:textId="27C9044B" w:rsidR="002E0FA7" w:rsidRPr="0000308C" w:rsidRDefault="002E0FA7">
      <w:pPr>
        <w:pStyle w:val="FootnoteText"/>
        <w:rPr>
          <w:lang w:val="en-US"/>
        </w:rPr>
      </w:pPr>
      <w:r>
        <w:rPr>
          <w:rStyle w:val="FootnoteReference"/>
        </w:rPr>
        <w:footnoteRef/>
      </w:r>
      <w:r>
        <w:t xml:space="preserve"> </w:t>
      </w:r>
      <w:r w:rsidR="004054B2">
        <w:t xml:space="preserve">At </w:t>
      </w:r>
      <w:r w:rsidR="00F15684">
        <w:rPr>
          <w:lang w:val="en-US"/>
        </w:rPr>
        <w:t>[85</w:t>
      </w:r>
      <w:r w:rsidR="002C1057">
        <w:rPr>
          <w:lang w:val="en-US"/>
        </w:rPr>
        <w:t>4</w:t>
      </w:r>
      <w:r w:rsidR="00F15684">
        <w:rPr>
          <w:lang w:val="en-US"/>
        </w:rPr>
        <w:t>]</w:t>
      </w:r>
      <w:r w:rsidR="008A5B2A">
        <w:rPr>
          <w:lang w:val="en-US"/>
        </w:rPr>
        <w:t xml:space="preserve">, </w:t>
      </w:r>
      <w:r w:rsidR="00895313">
        <w:rPr>
          <w:lang w:val="en-US"/>
        </w:rPr>
        <w:t>[923].</w:t>
      </w:r>
    </w:p>
  </w:footnote>
  <w:footnote w:id="50">
    <w:p w14:paraId="094A44CB" w14:textId="450FFFF9" w:rsidR="000E5420" w:rsidRPr="0000308C" w:rsidRDefault="000E5420">
      <w:pPr>
        <w:pStyle w:val="FootnoteText"/>
        <w:rPr>
          <w:lang w:val="en-US"/>
        </w:rPr>
      </w:pPr>
      <w:r>
        <w:rPr>
          <w:rStyle w:val="FootnoteReference"/>
        </w:rPr>
        <w:footnoteRef/>
      </w:r>
      <w:r>
        <w:t xml:space="preserve"> </w:t>
      </w:r>
      <w:r w:rsidR="004054B2">
        <w:t xml:space="preserve">At </w:t>
      </w:r>
      <w:r w:rsidR="004B540F">
        <w:rPr>
          <w:lang w:val="en-US"/>
        </w:rPr>
        <w:t>[855].</w:t>
      </w:r>
    </w:p>
  </w:footnote>
  <w:footnote w:id="51">
    <w:p w14:paraId="0F1FBE6E" w14:textId="50E2471D" w:rsidR="00894C7B" w:rsidRPr="0000308C" w:rsidRDefault="00894C7B">
      <w:pPr>
        <w:pStyle w:val="FootnoteText"/>
        <w:rPr>
          <w:lang w:val="en-US"/>
        </w:rPr>
      </w:pPr>
      <w:r>
        <w:rPr>
          <w:rStyle w:val="FootnoteReference"/>
        </w:rPr>
        <w:footnoteRef/>
      </w:r>
      <w:r>
        <w:t xml:space="preserve"> </w:t>
      </w:r>
      <w:r w:rsidR="004054B2">
        <w:t xml:space="preserve">At </w:t>
      </w:r>
      <w:r w:rsidR="00CF6635">
        <w:rPr>
          <w:lang w:val="en-US"/>
        </w:rPr>
        <w:t>[859]</w:t>
      </w:r>
      <w:r w:rsidR="00DA7BD1">
        <w:rPr>
          <w:lang w:val="en-US"/>
        </w:rPr>
        <w:t>, [939]</w:t>
      </w:r>
      <w:r w:rsidR="00E94F09">
        <w:rPr>
          <w:lang w:val="en-US"/>
        </w:rPr>
        <w:t>. [952]-[953]</w:t>
      </w:r>
      <w:r w:rsidR="004054B2">
        <w:rPr>
          <w:lang w:val="en-US"/>
        </w:rPr>
        <w:t>.</w:t>
      </w:r>
    </w:p>
  </w:footnote>
  <w:footnote w:id="52">
    <w:p w14:paraId="7AF631EE" w14:textId="0FEC3432" w:rsidR="00CF72A4" w:rsidRDefault="00CF72A4">
      <w:pPr>
        <w:pStyle w:val="FootnoteText"/>
      </w:pPr>
      <w:r>
        <w:rPr>
          <w:rStyle w:val="FootnoteReference"/>
        </w:rPr>
        <w:footnoteRef/>
      </w:r>
      <w:r>
        <w:t xml:space="preserve"> </w:t>
      </w:r>
      <w:r w:rsidR="004054B2">
        <w:t xml:space="preserve">At </w:t>
      </w:r>
      <w:r>
        <w:t>[992]</w:t>
      </w:r>
      <w:r w:rsidR="004054B2">
        <w:t>.</w:t>
      </w:r>
    </w:p>
  </w:footnote>
  <w:footnote w:id="53">
    <w:p w14:paraId="74AFDA56" w14:textId="278D0B50" w:rsidR="00F54AB3" w:rsidRDefault="00F54AB3" w:rsidP="00F54AB3">
      <w:pPr>
        <w:pStyle w:val="FootnoteText"/>
      </w:pPr>
      <w:r>
        <w:rPr>
          <w:rStyle w:val="FootnoteReference"/>
        </w:rPr>
        <w:footnoteRef/>
      </w:r>
      <w:r>
        <w:t xml:space="preserve"> </w:t>
      </w:r>
      <w:r w:rsidR="004054B2">
        <w:t xml:space="preserve">At </w:t>
      </w:r>
      <w:r>
        <w:t>[1005]</w:t>
      </w:r>
      <w:r w:rsidR="004054B2">
        <w:t>.</w:t>
      </w:r>
    </w:p>
  </w:footnote>
  <w:footnote w:id="54">
    <w:p w14:paraId="1B9980A2" w14:textId="295BE116" w:rsidR="008C0074" w:rsidRDefault="008C0074">
      <w:pPr>
        <w:pStyle w:val="FootnoteText"/>
      </w:pPr>
      <w:r>
        <w:rPr>
          <w:rStyle w:val="FootnoteReference"/>
        </w:rPr>
        <w:footnoteRef/>
      </w:r>
      <w:r>
        <w:t xml:space="preserve"> </w:t>
      </w:r>
      <w:r w:rsidR="004054B2">
        <w:t xml:space="preserve">At </w:t>
      </w:r>
      <w:r w:rsidR="006A107C">
        <w:t>[1409]</w:t>
      </w:r>
      <w:r w:rsidR="00E64873">
        <w:t>, [1489]</w:t>
      </w:r>
      <w:r w:rsidR="004054B2">
        <w:t xml:space="preserve"> and</w:t>
      </w:r>
      <w:r w:rsidR="0091308B">
        <w:t xml:space="preserve"> [1616]</w:t>
      </w:r>
      <w:r w:rsidR="004054B2">
        <w:t>.</w:t>
      </w:r>
    </w:p>
  </w:footnote>
  <w:footnote w:id="55">
    <w:p w14:paraId="7C1A4513" w14:textId="5AFA1995" w:rsidR="0090455B" w:rsidRDefault="0090455B">
      <w:pPr>
        <w:pStyle w:val="FootnoteText"/>
      </w:pPr>
      <w:r>
        <w:rPr>
          <w:rStyle w:val="FootnoteReference"/>
        </w:rPr>
        <w:footnoteRef/>
      </w:r>
      <w:r>
        <w:t xml:space="preserve"> </w:t>
      </w:r>
      <w:r w:rsidR="00CD104B">
        <w:t xml:space="preserve">At </w:t>
      </w:r>
      <w:r>
        <w:t>[1212]</w:t>
      </w:r>
      <w:r w:rsidR="00CD104B">
        <w:t>.</w:t>
      </w:r>
    </w:p>
  </w:footnote>
  <w:footnote w:id="56">
    <w:p w14:paraId="6BEA9DC8" w14:textId="39326F2E" w:rsidR="001D544D" w:rsidRPr="001D544D" w:rsidRDefault="001D544D">
      <w:pPr>
        <w:pStyle w:val="FootnoteText"/>
        <w:rPr>
          <w:lang w:val="en-US"/>
        </w:rPr>
      </w:pPr>
      <w:r>
        <w:rPr>
          <w:rStyle w:val="FootnoteReference"/>
        </w:rPr>
        <w:footnoteRef/>
      </w:r>
      <w:r>
        <w:t xml:space="preserve"> </w:t>
      </w:r>
      <w:r w:rsidR="00CD104B">
        <w:t xml:space="preserve">At </w:t>
      </w:r>
      <w:r>
        <w:rPr>
          <w:lang w:val="en-US"/>
        </w:rPr>
        <w:t>[1589]</w:t>
      </w:r>
      <w:r w:rsidR="00CD104B">
        <w:rPr>
          <w:lang w:val="en-US"/>
        </w:rPr>
        <w:t>.</w:t>
      </w:r>
    </w:p>
  </w:footnote>
  <w:footnote w:id="57">
    <w:p w14:paraId="3AA7FAEF" w14:textId="1D61CBC2" w:rsidR="00296BA7" w:rsidRDefault="00296BA7">
      <w:pPr>
        <w:pStyle w:val="FootnoteText"/>
      </w:pPr>
      <w:r>
        <w:rPr>
          <w:rStyle w:val="FootnoteReference"/>
        </w:rPr>
        <w:footnoteRef/>
      </w:r>
      <w:r>
        <w:t xml:space="preserve"> </w:t>
      </w:r>
      <w:r w:rsidR="00CD104B">
        <w:t xml:space="preserve">At </w:t>
      </w:r>
      <w:r>
        <w:t>[1220]</w:t>
      </w:r>
      <w:r w:rsidR="00CD104B">
        <w:t>.</w:t>
      </w:r>
    </w:p>
  </w:footnote>
  <w:footnote w:id="58">
    <w:p w14:paraId="343DB1F1" w14:textId="4BD28780" w:rsidR="004A54B8" w:rsidRDefault="004A54B8">
      <w:pPr>
        <w:pStyle w:val="FootnoteText"/>
      </w:pPr>
      <w:r>
        <w:rPr>
          <w:rStyle w:val="FootnoteReference"/>
        </w:rPr>
        <w:footnoteRef/>
      </w:r>
      <w:r>
        <w:t xml:space="preserve"> </w:t>
      </w:r>
      <w:r w:rsidR="00CD104B">
        <w:t xml:space="preserve">At </w:t>
      </w:r>
      <w:r w:rsidR="0097072A">
        <w:t>[1223].</w:t>
      </w:r>
    </w:p>
  </w:footnote>
  <w:footnote w:id="59">
    <w:p w14:paraId="473CA533" w14:textId="4A329C2E" w:rsidR="008841C6" w:rsidRDefault="008841C6">
      <w:pPr>
        <w:pStyle w:val="FootnoteText"/>
      </w:pPr>
      <w:r>
        <w:rPr>
          <w:rStyle w:val="FootnoteReference"/>
        </w:rPr>
        <w:footnoteRef/>
      </w:r>
      <w:r>
        <w:t xml:space="preserve"> </w:t>
      </w:r>
      <w:r w:rsidR="008B24DC">
        <w:t xml:space="preserve">At </w:t>
      </w:r>
      <w:r w:rsidR="00223EBB">
        <w:t>[1227]</w:t>
      </w:r>
    </w:p>
  </w:footnote>
  <w:footnote w:id="60">
    <w:p w14:paraId="57F0A094" w14:textId="2D27E6EE" w:rsidR="007F7CBD" w:rsidRDefault="007F7CBD">
      <w:pPr>
        <w:pStyle w:val="FootnoteText"/>
      </w:pPr>
      <w:r>
        <w:rPr>
          <w:rStyle w:val="FootnoteReference"/>
        </w:rPr>
        <w:footnoteRef/>
      </w:r>
      <w:r>
        <w:t xml:space="preserve"> </w:t>
      </w:r>
      <w:r w:rsidR="008B24DC">
        <w:t xml:space="preserve">At </w:t>
      </w:r>
      <w:r w:rsidR="00DD6B92">
        <w:t>[</w:t>
      </w:r>
      <w:r>
        <w:t>12</w:t>
      </w:r>
      <w:r w:rsidR="00DD6B92">
        <w:t>39]</w:t>
      </w:r>
    </w:p>
  </w:footnote>
  <w:footnote w:id="61">
    <w:p w14:paraId="06844EAE" w14:textId="6816D166" w:rsidR="00425798" w:rsidRPr="00425798" w:rsidRDefault="00425798">
      <w:pPr>
        <w:pStyle w:val="FootnoteText"/>
        <w:rPr>
          <w:lang w:val="en-US"/>
        </w:rPr>
      </w:pPr>
      <w:r>
        <w:rPr>
          <w:rStyle w:val="FootnoteReference"/>
        </w:rPr>
        <w:footnoteRef/>
      </w:r>
      <w:r>
        <w:t xml:space="preserve"> </w:t>
      </w:r>
      <w:r w:rsidR="008B24DC">
        <w:t xml:space="preserve">See </w:t>
      </w:r>
      <w:r w:rsidR="00290643">
        <w:t>[34]</w:t>
      </w:r>
      <w:r w:rsidR="008B24DC">
        <w:t>,</w:t>
      </w:r>
      <w:r w:rsidR="00290643">
        <w:t xml:space="preserve"> [64]</w:t>
      </w:r>
      <w:r w:rsidR="008B24DC">
        <w:t>,</w:t>
      </w:r>
      <w:r w:rsidR="00290643">
        <w:t xml:space="preserve"> </w:t>
      </w:r>
      <w:r w:rsidR="00E96FD0">
        <w:t>[814]</w:t>
      </w:r>
      <w:r w:rsidR="008B24DC">
        <w:t>,</w:t>
      </w:r>
      <w:r w:rsidR="00E96FD0">
        <w:t xml:space="preserve"> </w:t>
      </w:r>
      <w:r w:rsidR="006A20C3">
        <w:t>[1734</w:t>
      </w:r>
      <w:proofErr w:type="gramStart"/>
      <w:r w:rsidR="006A20C3">
        <w:t>]</w:t>
      </w:r>
      <w:r w:rsidR="00EF3D88">
        <w:t xml:space="preserve"> </w:t>
      </w:r>
      <w:r w:rsidR="008B24DC">
        <w:t>,</w:t>
      </w:r>
      <w:proofErr w:type="gramEnd"/>
      <w:r w:rsidR="00EF3D88">
        <w:t>[1747</w:t>
      </w:r>
      <w:r w:rsidR="008D277D">
        <w:t>]-[1756]</w:t>
      </w:r>
      <w:r w:rsidR="008B24DC">
        <w:t xml:space="preserve"> and</w:t>
      </w:r>
      <w:r w:rsidR="008D277D">
        <w:t xml:space="preserve"> </w:t>
      </w:r>
      <w:r>
        <w:rPr>
          <w:lang w:val="en-US"/>
        </w:rPr>
        <w:t>[1802]</w:t>
      </w:r>
      <w:r w:rsidR="008B24DC">
        <w:rPr>
          <w:lang w:val="en-US"/>
        </w:rPr>
        <w:t>.</w:t>
      </w:r>
    </w:p>
  </w:footnote>
  <w:footnote w:id="62">
    <w:p w14:paraId="01C30765" w14:textId="03A2F2E8" w:rsidR="00C93273" w:rsidRDefault="00C93273" w:rsidP="00C93273">
      <w:pPr>
        <w:pStyle w:val="FootnoteText"/>
      </w:pPr>
      <w:r>
        <w:rPr>
          <w:rStyle w:val="FootnoteReference"/>
        </w:rPr>
        <w:footnoteRef/>
      </w:r>
      <w:r>
        <w:t xml:space="preserve"> </w:t>
      </w:r>
      <w:r w:rsidRPr="00C93273">
        <w:rPr>
          <w:i/>
          <w:iCs/>
        </w:rPr>
        <w:t>Waratah Coal Pty Ltd v Youth Verdict Ltd</w:t>
      </w:r>
      <w:r>
        <w:t xml:space="preserve"> </w:t>
      </w:r>
      <w:r>
        <w:t>[2020] QLC 33</w:t>
      </w:r>
      <w:r>
        <w:t>.</w:t>
      </w:r>
    </w:p>
  </w:footnote>
  <w:footnote w:id="63">
    <w:p w14:paraId="27BD9EE0" w14:textId="180AC71A" w:rsidR="00020EF5" w:rsidRDefault="00020EF5">
      <w:pPr>
        <w:pStyle w:val="FootnoteText"/>
      </w:pPr>
      <w:r>
        <w:rPr>
          <w:rStyle w:val="FootnoteReference"/>
        </w:rPr>
        <w:footnoteRef/>
      </w:r>
      <w:r>
        <w:t xml:space="preserve"> </w:t>
      </w:r>
      <w:r w:rsidR="008B24DC">
        <w:t xml:space="preserve">At </w:t>
      </w:r>
      <w:r w:rsidR="00740392">
        <w:t>[1320]</w:t>
      </w:r>
      <w:proofErr w:type="gramStart"/>
      <w:r w:rsidR="00740392">
        <w:t>-</w:t>
      </w:r>
      <w:r w:rsidR="00D32469">
        <w:t>[</w:t>
      </w:r>
      <w:proofErr w:type="gramEnd"/>
      <w:r w:rsidR="00D32469">
        <w:t>1329].</w:t>
      </w:r>
    </w:p>
  </w:footnote>
  <w:footnote w:id="64">
    <w:p w14:paraId="14A7FC46" w14:textId="22FC0445" w:rsidR="009329B6" w:rsidRDefault="009329B6">
      <w:pPr>
        <w:pStyle w:val="FootnoteText"/>
      </w:pPr>
      <w:r>
        <w:rPr>
          <w:rStyle w:val="FootnoteReference"/>
        </w:rPr>
        <w:footnoteRef/>
      </w:r>
      <w:r>
        <w:t xml:space="preserve"> At [1346]</w:t>
      </w:r>
      <w:r w:rsidR="008B24DC">
        <w:t xml:space="preserve"> and</w:t>
      </w:r>
      <w:r w:rsidR="00FC5DE5">
        <w:t xml:space="preserve"> [1352]</w:t>
      </w:r>
      <w:r>
        <w:t>.</w:t>
      </w:r>
    </w:p>
  </w:footnote>
  <w:footnote w:id="65">
    <w:p w14:paraId="32F0E060" w14:textId="77777777" w:rsidR="008F2546" w:rsidRPr="00A219F9" w:rsidRDefault="008F2546" w:rsidP="008F2546">
      <w:pPr>
        <w:pStyle w:val="FootnoteText"/>
        <w:rPr>
          <w:rFonts w:ascii="Source Sans Pro" w:hAnsi="Source Sans Pro"/>
          <w:lang w:val="en-GB"/>
        </w:rPr>
      </w:pPr>
      <w:r w:rsidRPr="00A219F9">
        <w:rPr>
          <w:rStyle w:val="FootnoteReference"/>
          <w:rFonts w:ascii="Source Sans Pro" w:hAnsi="Source Sans Pro"/>
        </w:rPr>
        <w:footnoteRef/>
      </w:r>
      <w:r w:rsidRPr="00A219F9">
        <w:rPr>
          <w:rFonts w:ascii="Source Sans Pro" w:hAnsi="Source Sans Pro"/>
        </w:rPr>
        <w:t xml:space="preserve"> </w:t>
      </w:r>
      <w:r w:rsidRPr="00A219F9">
        <w:rPr>
          <w:rFonts w:ascii="Source Sans Pro" w:hAnsi="Source Sans Pro"/>
          <w:i/>
          <w:iCs/>
          <w:lang w:val="en-GB"/>
        </w:rPr>
        <w:t xml:space="preserve">Waratah Coal Pty Ltd v Youth Verdict Ltd &amp; </w:t>
      </w:r>
      <w:proofErr w:type="spellStart"/>
      <w:r w:rsidRPr="00A219F9">
        <w:rPr>
          <w:rFonts w:ascii="Source Sans Pro" w:hAnsi="Source Sans Pro"/>
          <w:i/>
          <w:iCs/>
          <w:lang w:val="en-GB"/>
        </w:rPr>
        <w:t>Ors</w:t>
      </w:r>
      <w:proofErr w:type="spellEnd"/>
      <w:r w:rsidRPr="00A219F9">
        <w:rPr>
          <w:rFonts w:ascii="Source Sans Pro" w:hAnsi="Source Sans Pro"/>
          <w:i/>
          <w:iCs/>
          <w:lang w:val="en-GB"/>
        </w:rPr>
        <w:t xml:space="preserve"> </w:t>
      </w:r>
      <w:r w:rsidRPr="00A219F9">
        <w:rPr>
          <w:rFonts w:ascii="Source Sans Pro" w:hAnsi="Source Sans Pro"/>
          <w:lang w:val="en-GB"/>
        </w:rPr>
        <w:t>(n 1)</w:t>
      </w:r>
      <w:r w:rsidRPr="00A219F9">
        <w:rPr>
          <w:rFonts w:ascii="Source Sans Pro" w:hAnsi="Source Sans Pro"/>
        </w:rPr>
        <w:t xml:space="preserve"> [1505].</w:t>
      </w:r>
    </w:p>
  </w:footnote>
  <w:footnote w:id="66">
    <w:p w14:paraId="00640326" w14:textId="11D829E1" w:rsidR="001147C3" w:rsidRDefault="001147C3">
      <w:pPr>
        <w:pStyle w:val="FootnoteText"/>
      </w:pPr>
      <w:r>
        <w:rPr>
          <w:rStyle w:val="FootnoteReference"/>
        </w:rPr>
        <w:footnoteRef/>
      </w:r>
      <w:r>
        <w:t xml:space="preserve"> At [1537].</w:t>
      </w:r>
    </w:p>
  </w:footnote>
  <w:footnote w:id="67">
    <w:p w14:paraId="1CF083A1" w14:textId="684E45B4" w:rsidR="001147C3" w:rsidRDefault="001147C3">
      <w:pPr>
        <w:pStyle w:val="FootnoteText"/>
      </w:pPr>
      <w:r>
        <w:rPr>
          <w:rStyle w:val="FootnoteReference"/>
        </w:rPr>
        <w:footnoteRef/>
      </w:r>
      <w:r>
        <w:t xml:space="preserve"> At [1557].</w:t>
      </w:r>
    </w:p>
  </w:footnote>
  <w:footnote w:id="68">
    <w:p w14:paraId="1BC74526" w14:textId="60E9D968" w:rsidR="001147C3" w:rsidRDefault="001147C3">
      <w:pPr>
        <w:pStyle w:val="FootnoteText"/>
      </w:pPr>
      <w:r>
        <w:rPr>
          <w:rStyle w:val="FootnoteReference"/>
        </w:rPr>
        <w:footnoteRef/>
      </w:r>
      <w:r>
        <w:t xml:space="preserve"> At [1565].</w:t>
      </w:r>
    </w:p>
  </w:footnote>
  <w:footnote w:id="69">
    <w:p w14:paraId="6FA324A2" w14:textId="1DAE46AA" w:rsidR="00B47A21" w:rsidRDefault="00B47A21">
      <w:pPr>
        <w:pStyle w:val="FootnoteText"/>
      </w:pPr>
      <w:r>
        <w:rPr>
          <w:rStyle w:val="FootnoteReference"/>
        </w:rPr>
        <w:footnoteRef/>
      </w:r>
      <w:r>
        <w:t xml:space="preserve"> </w:t>
      </w:r>
      <w:r w:rsidRPr="00B47A21">
        <w:rPr>
          <w:i/>
          <w:iCs/>
        </w:rPr>
        <w:t>Gloucester Resources Limited v Minister for Planning</w:t>
      </w:r>
      <w:r w:rsidRPr="00B47A21">
        <w:t xml:space="preserve"> [2019] NSWLEC 7</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090011"/>
    <w:lvl w:ilvl="0">
      <w:start w:val="1"/>
      <w:numFmt w:val="decimal"/>
      <w:lvlText w:val="%1)"/>
      <w:lvlJc w:val="left"/>
      <w:pPr>
        <w:ind w:left="720" w:hanging="360"/>
      </w:pPr>
    </w:lvl>
  </w:abstractNum>
  <w:abstractNum w:abstractNumId="1" w15:restartNumberingAfterBreak="0">
    <w:nsid w:val="02B34458"/>
    <w:multiLevelType w:val="hybridMultilevel"/>
    <w:tmpl w:val="22C0822A"/>
    <w:lvl w:ilvl="0" w:tplc="22E6338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53E3F2B"/>
    <w:multiLevelType w:val="hybridMultilevel"/>
    <w:tmpl w:val="20B05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8E6C23"/>
    <w:multiLevelType w:val="hybridMultilevel"/>
    <w:tmpl w:val="6DAA7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B639DC"/>
    <w:multiLevelType w:val="hybridMultilevel"/>
    <w:tmpl w:val="618E02D8"/>
    <w:lvl w:ilvl="0" w:tplc="74E4EB30">
      <w:start w:val="1"/>
      <w:numFmt w:val="upperLetter"/>
      <w:lvlText w:val="%1."/>
      <w:lvlJc w:val="left"/>
      <w:pPr>
        <w:ind w:left="360" w:hanging="360"/>
      </w:pPr>
      <w:rPr>
        <w:rFonts w:hint="default"/>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E1F7A9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1558B8"/>
    <w:multiLevelType w:val="hybridMultilevel"/>
    <w:tmpl w:val="0B448138"/>
    <w:lvl w:ilvl="0" w:tplc="169A6FC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88A0AA8"/>
    <w:multiLevelType w:val="hybridMultilevel"/>
    <w:tmpl w:val="6AA806D8"/>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8E52DE3"/>
    <w:multiLevelType w:val="hybridMultilevel"/>
    <w:tmpl w:val="E1200716"/>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9" w15:restartNumberingAfterBreak="0">
    <w:nsid w:val="1EA26090"/>
    <w:multiLevelType w:val="hybridMultilevel"/>
    <w:tmpl w:val="7D023B1C"/>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0" w15:restartNumberingAfterBreak="0">
    <w:nsid w:val="1EF41D5E"/>
    <w:multiLevelType w:val="hybridMultilevel"/>
    <w:tmpl w:val="D73807BA"/>
    <w:lvl w:ilvl="0" w:tplc="1BF613A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1211F27"/>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910D9F"/>
    <w:multiLevelType w:val="hybridMultilevel"/>
    <w:tmpl w:val="F83A79CC"/>
    <w:lvl w:ilvl="0" w:tplc="F4B2F036">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2BAE7DB7"/>
    <w:multiLevelType w:val="hybridMultilevel"/>
    <w:tmpl w:val="950C6D74"/>
    <w:lvl w:ilvl="0" w:tplc="6818E9A8">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30486AEF"/>
    <w:multiLevelType w:val="hybridMultilevel"/>
    <w:tmpl w:val="0ED6ADA6"/>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2510C63"/>
    <w:multiLevelType w:val="hybridMultilevel"/>
    <w:tmpl w:val="C36CBCA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4500D37"/>
    <w:multiLevelType w:val="hybridMultilevel"/>
    <w:tmpl w:val="F10E52C8"/>
    <w:lvl w:ilvl="0" w:tplc="0C090001">
      <w:start w:val="1"/>
      <w:numFmt w:val="bullet"/>
      <w:lvlText w:val=""/>
      <w:lvlJc w:val="left"/>
      <w:pPr>
        <w:ind w:left="928" w:hanging="360"/>
      </w:pPr>
      <w:rPr>
        <w:rFonts w:ascii="Symbol" w:hAnsi="Symbol" w:hint="default"/>
      </w:rPr>
    </w:lvl>
    <w:lvl w:ilvl="1" w:tplc="0C090019">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7" w15:restartNumberingAfterBreak="0">
    <w:nsid w:val="484A01E8"/>
    <w:multiLevelType w:val="hybridMultilevel"/>
    <w:tmpl w:val="96665986"/>
    <w:lvl w:ilvl="0" w:tplc="B2D4EA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B066282"/>
    <w:multiLevelType w:val="hybridMultilevel"/>
    <w:tmpl w:val="87368B1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C031EC"/>
    <w:multiLevelType w:val="hybridMultilevel"/>
    <w:tmpl w:val="F2D432FE"/>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0" w15:restartNumberingAfterBreak="0">
    <w:nsid w:val="533A2041"/>
    <w:multiLevelType w:val="hybridMultilevel"/>
    <w:tmpl w:val="2C9EFC96"/>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1" w15:restartNumberingAfterBreak="0">
    <w:nsid w:val="54080330"/>
    <w:multiLevelType w:val="hybridMultilevel"/>
    <w:tmpl w:val="A78E8EFE"/>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F13352"/>
    <w:multiLevelType w:val="multilevel"/>
    <w:tmpl w:val="0C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EF227FF"/>
    <w:multiLevelType w:val="hybridMultilevel"/>
    <w:tmpl w:val="31E449F8"/>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4" w15:restartNumberingAfterBreak="0">
    <w:nsid w:val="63B852FA"/>
    <w:multiLevelType w:val="hybridMultilevel"/>
    <w:tmpl w:val="E76E03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8461A91"/>
    <w:multiLevelType w:val="hybridMultilevel"/>
    <w:tmpl w:val="4A0C2F8E"/>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6" w15:restartNumberingAfterBreak="0">
    <w:nsid w:val="6BD34E6A"/>
    <w:multiLevelType w:val="hybridMultilevel"/>
    <w:tmpl w:val="01B013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1755D7B"/>
    <w:multiLevelType w:val="hybridMultilevel"/>
    <w:tmpl w:val="7D3A859C"/>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8" w15:restartNumberingAfterBreak="0">
    <w:nsid w:val="735D7CA6"/>
    <w:multiLevelType w:val="hybridMultilevel"/>
    <w:tmpl w:val="60F85EA6"/>
    <w:lvl w:ilvl="0" w:tplc="CAEC40EE">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736F3EE4"/>
    <w:multiLevelType w:val="hybridMultilevel"/>
    <w:tmpl w:val="02527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5922E62"/>
    <w:multiLevelType w:val="hybridMultilevel"/>
    <w:tmpl w:val="7D746390"/>
    <w:lvl w:ilvl="0" w:tplc="F4145FF6">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387921936">
    <w:abstractNumId w:val="6"/>
  </w:num>
  <w:num w:numId="2" w16cid:durableId="1062097203">
    <w:abstractNumId w:val="17"/>
  </w:num>
  <w:num w:numId="3" w16cid:durableId="477960341">
    <w:abstractNumId w:val="21"/>
  </w:num>
  <w:num w:numId="4" w16cid:durableId="2139757387">
    <w:abstractNumId w:val="4"/>
  </w:num>
  <w:num w:numId="5" w16cid:durableId="1121265157">
    <w:abstractNumId w:val="18"/>
  </w:num>
  <w:num w:numId="6" w16cid:durableId="951598310">
    <w:abstractNumId w:val="12"/>
  </w:num>
  <w:num w:numId="7" w16cid:durableId="125200870">
    <w:abstractNumId w:val="28"/>
  </w:num>
  <w:num w:numId="8" w16cid:durableId="1156871819">
    <w:abstractNumId w:val="10"/>
  </w:num>
  <w:num w:numId="9" w16cid:durableId="1506820715">
    <w:abstractNumId w:val="13"/>
  </w:num>
  <w:num w:numId="10" w16cid:durableId="1368681956">
    <w:abstractNumId w:val="2"/>
  </w:num>
  <w:num w:numId="11" w16cid:durableId="271205229">
    <w:abstractNumId w:val="15"/>
  </w:num>
  <w:num w:numId="12" w16cid:durableId="587616455">
    <w:abstractNumId w:val="7"/>
  </w:num>
  <w:num w:numId="13" w16cid:durableId="1597519759">
    <w:abstractNumId w:val="8"/>
  </w:num>
  <w:num w:numId="14" w16cid:durableId="271985615">
    <w:abstractNumId w:val="27"/>
  </w:num>
  <w:num w:numId="15" w16cid:durableId="671297197">
    <w:abstractNumId w:val="20"/>
  </w:num>
  <w:num w:numId="16" w16cid:durableId="1743792495">
    <w:abstractNumId w:val="19"/>
  </w:num>
  <w:num w:numId="17" w16cid:durableId="1110974195">
    <w:abstractNumId w:val="16"/>
  </w:num>
  <w:num w:numId="18" w16cid:durableId="7291882">
    <w:abstractNumId w:val="24"/>
  </w:num>
  <w:num w:numId="19" w16cid:durableId="1853563886">
    <w:abstractNumId w:val="3"/>
  </w:num>
  <w:num w:numId="20" w16cid:durableId="1131941101">
    <w:abstractNumId w:val="14"/>
  </w:num>
  <w:num w:numId="21" w16cid:durableId="840780042">
    <w:abstractNumId w:val="30"/>
  </w:num>
  <w:num w:numId="22" w16cid:durableId="1504474185">
    <w:abstractNumId w:val="29"/>
  </w:num>
  <w:num w:numId="23" w16cid:durableId="1625842870">
    <w:abstractNumId w:val="25"/>
  </w:num>
  <w:num w:numId="24" w16cid:durableId="688138239">
    <w:abstractNumId w:val="9"/>
  </w:num>
  <w:num w:numId="25" w16cid:durableId="794909353">
    <w:abstractNumId w:val="23"/>
  </w:num>
  <w:num w:numId="26" w16cid:durableId="900872192">
    <w:abstractNumId w:val="1"/>
  </w:num>
  <w:num w:numId="27" w16cid:durableId="1904178033">
    <w:abstractNumId w:val="0"/>
  </w:num>
  <w:num w:numId="28" w16cid:durableId="478770020">
    <w:abstractNumId w:val="5"/>
  </w:num>
  <w:num w:numId="29" w16cid:durableId="1597250051">
    <w:abstractNumId w:val="11"/>
  </w:num>
  <w:num w:numId="30" w16cid:durableId="1575509504">
    <w:abstractNumId w:val="26"/>
  </w:num>
  <w:num w:numId="31" w16cid:durableId="13148828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793806"/>
    <w:rsid w:val="00000A33"/>
    <w:rsid w:val="0000148F"/>
    <w:rsid w:val="00002ACF"/>
    <w:rsid w:val="0000308C"/>
    <w:rsid w:val="00005072"/>
    <w:rsid w:val="0000698D"/>
    <w:rsid w:val="00007CBD"/>
    <w:rsid w:val="00010C3F"/>
    <w:rsid w:val="0001256F"/>
    <w:rsid w:val="00013F4C"/>
    <w:rsid w:val="000145B6"/>
    <w:rsid w:val="00015937"/>
    <w:rsid w:val="00015A2F"/>
    <w:rsid w:val="00020A18"/>
    <w:rsid w:val="00020EF5"/>
    <w:rsid w:val="0002251B"/>
    <w:rsid w:val="00024507"/>
    <w:rsid w:val="00025163"/>
    <w:rsid w:val="000259A6"/>
    <w:rsid w:val="0002763B"/>
    <w:rsid w:val="000301A4"/>
    <w:rsid w:val="00031490"/>
    <w:rsid w:val="00032A9E"/>
    <w:rsid w:val="00032FE8"/>
    <w:rsid w:val="00033624"/>
    <w:rsid w:val="000336FF"/>
    <w:rsid w:val="000362C7"/>
    <w:rsid w:val="000402F9"/>
    <w:rsid w:val="00041009"/>
    <w:rsid w:val="0004137F"/>
    <w:rsid w:val="000428D1"/>
    <w:rsid w:val="000452D9"/>
    <w:rsid w:val="0004642A"/>
    <w:rsid w:val="000506F8"/>
    <w:rsid w:val="00051B39"/>
    <w:rsid w:val="00051D9B"/>
    <w:rsid w:val="00055567"/>
    <w:rsid w:val="000566B3"/>
    <w:rsid w:val="00057FB7"/>
    <w:rsid w:val="00063CE7"/>
    <w:rsid w:val="00065464"/>
    <w:rsid w:val="000655FB"/>
    <w:rsid w:val="00066FF6"/>
    <w:rsid w:val="00067367"/>
    <w:rsid w:val="00067FB2"/>
    <w:rsid w:val="00071F59"/>
    <w:rsid w:val="000730A3"/>
    <w:rsid w:val="0007533A"/>
    <w:rsid w:val="000754C7"/>
    <w:rsid w:val="00075F5F"/>
    <w:rsid w:val="00077429"/>
    <w:rsid w:val="00081305"/>
    <w:rsid w:val="00081F22"/>
    <w:rsid w:val="0008204A"/>
    <w:rsid w:val="0008220E"/>
    <w:rsid w:val="000826E8"/>
    <w:rsid w:val="00083B40"/>
    <w:rsid w:val="0008642B"/>
    <w:rsid w:val="000866DA"/>
    <w:rsid w:val="00086A64"/>
    <w:rsid w:val="0009082F"/>
    <w:rsid w:val="000911CD"/>
    <w:rsid w:val="000913FD"/>
    <w:rsid w:val="00091AD0"/>
    <w:rsid w:val="00092C00"/>
    <w:rsid w:val="0009371D"/>
    <w:rsid w:val="00093784"/>
    <w:rsid w:val="00095E6A"/>
    <w:rsid w:val="000973E7"/>
    <w:rsid w:val="000A002D"/>
    <w:rsid w:val="000A143D"/>
    <w:rsid w:val="000A2030"/>
    <w:rsid w:val="000A4733"/>
    <w:rsid w:val="000A66B2"/>
    <w:rsid w:val="000A7148"/>
    <w:rsid w:val="000B22D0"/>
    <w:rsid w:val="000B2526"/>
    <w:rsid w:val="000B498E"/>
    <w:rsid w:val="000B6B7B"/>
    <w:rsid w:val="000B7A47"/>
    <w:rsid w:val="000C2364"/>
    <w:rsid w:val="000C4C52"/>
    <w:rsid w:val="000C5F6A"/>
    <w:rsid w:val="000C778B"/>
    <w:rsid w:val="000C77F4"/>
    <w:rsid w:val="000D076F"/>
    <w:rsid w:val="000D1B9F"/>
    <w:rsid w:val="000D23CE"/>
    <w:rsid w:val="000D3E90"/>
    <w:rsid w:val="000D4398"/>
    <w:rsid w:val="000D45CE"/>
    <w:rsid w:val="000D706E"/>
    <w:rsid w:val="000D75A8"/>
    <w:rsid w:val="000D75BC"/>
    <w:rsid w:val="000D7D7A"/>
    <w:rsid w:val="000E247D"/>
    <w:rsid w:val="000E2497"/>
    <w:rsid w:val="000E39A5"/>
    <w:rsid w:val="000E4BE2"/>
    <w:rsid w:val="000E5420"/>
    <w:rsid w:val="000E6380"/>
    <w:rsid w:val="000E752E"/>
    <w:rsid w:val="000F1E57"/>
    <w:rsid w:val="000F4621"/>
    <w:rsid w:val="000F47E7"/>
    <w:rsid w:val="0010350C"/>
    <w:rsid w:val="00103E0D"/>
    <w:rsid w:val="001041A0"/>
    <w:rsid w:val="001044CD"/>
    <w:rsid w:val="001048C3"/>
    <w:rsid w:val="00105E61"/>
    <w:rsid w:val="00106880"/>
    <w:rsid w:val="00111550"/>
    <w:rsid w:val="00112AD2"/>
    <w:rsid w:val="00112F20"/>
    <w:rsid w:val="00113BFA"/>
    <w:rsid w:val="001147C3"/>
    <w:rsid w:val="001154F4"/>
    <w:rsid w:val="001155DE"/>
    <w:rsid w:val="0011627D"/>
    <w:rsid w:val="001163E8"/>
    <w:rsid w:val="00120036"/>
    <w:rsid w:val="0012087A"/>
    <w:rsid w:val="00121E54"/>
    <w:rsid w:val="00123C70"/>
    <w:rsid w:val="0012476A"/>
    <w:rsid w:val="00125866"/>
    <w:rsid w:val="00127427"/>
    <w:rsid w:val="00130E16"/>
    <w:rsid w:val="00131163"/>
    <w:rsid w:val="0013187D"/>
    <w:rsid w:val="00131E29"/>
    <w:rsid w:val="001325B5"/>
    <w:rsid w:val="00135394"/>
    <w:rsid w:val="00136AA2"/>
    <w:rsid w:val="001376DC"/>
    <w:rsid w:val="001404A3"/>
    <w:rsid w:val="00141B7C"/>
    <w:rsid w:val="00142201"/>
    <w:rsid w:val="001425F0"/>
    <w:rsid w:val="001453F6"/>
    <w:rsid w:val="0014724E"/>
    <w:rsid w:val="00151579"/>
    <w:rsid w:val="00152579"/>
    <w:rsid w:val="0015273E"/>
    <w:rsid w:val="00152A00"/>
    <w:rsid w:val="001544A7"/>
    <w:rsid w:val="00154BBC"/>
    <w:rsid w:val="00155405"/>
    <w:rsid w:val="00157295"/>
    <w:rsid w:val="00157503"/>
    <w:rsid w:val="0015776F"/>
    <w:rsid w:val="00160C13"/>
    <w:rsid w:val="00165E82"/>
    <w:rsid w:val="00166872"/>
    <w:rsid w:val="0017032C"/>
    <w:rsid w:val="00170419"/>
    <w:rsid w:val="00171650"/>
    <w:rsid w:val="00172D95"/>
    <w:rsid w:val="00173285"/>
    <w:rsid w:val="00173806"/>
    <w:rsid w:val="00174429"/>
    <w:rsid w:val="00176782"/>
    <w:rsid w:val="001777FE"/>
    <w:rsid w:val="0018119A"/>
    <w:rsid w:val="00182C84"/>
    <w:rsid w:val="00183E40"/>
    <w:rsid w:val="00184347"/>
    <w:rsid w:val="00184DE3"/>
    <w:rsid w:val="00186948"/>
    <w:rsid w:val="00186F25"/>
    <w:rsid w:val="00192641"/>
    <w:rsid w:val="00192CE6"/>
    <w:rsid w:val="00193A8F"/>
    <w:rsid w:val="00194034"/>
    <w:rsid w:val="00194350"/>
    <w:rsid w:val="00194D14"/>
    <w:rsid w:val="00195278"/>
    <w:rsid w:val="001964FA"/>
    <w:rsid w:val="00196698"/>
    <w:rsid w:val="00196E9A"/>
    <w:rsid w:val="001A06BD"/>
    <w:rsid w:val="001A2077"/>
    <w:rsid w:val="001A5038"/>
    <w:rsid w:val="001A7C40"/>
    <w:rsid w:val="001B1BBD"/>
    <w:rsid w:val="001B4BF1"/>
    <w:rsid w:val="001B4CE1"/>
    <w:rsid w:val="001B61DA"/>
    <w:rsid w:val="001B740D"/>
    <w:rsid w:val="001C03E1"/>
    <w:rsid w:val="001C091D"/>
    <w:rsid w:val="001C48FF"/>
    <w:rsid w:val="001C773C"/>
    <w:rsid w:val="001D01E5"/>
    <w:rsid w:val="001D224C"/>
    <w:rsid w:val="001D424C"/>
    <w:rsid w:val="001D544D"/>
    <w:rsid w:val="001D5A76"/>
    <w:rsid w:val="001D5EE5"/>
    <w:rsid w:val="001D6236"/>
    <w:rsid w:val="001D6622"/>
    <w:rsid w:val="001D6A4E"/>
    <w:rsid w:val="001D70A7"/>
    <w:rsid w:val="001E005A"/>
    <w:rsid w:val="001E0BF6"/>
    <w:rsid w:val="001E297C"/>
    <w:rsid w:val="001E3044"/>
    <w:rsid w:val="001E3276"/>
    <w:rsid w:val="001E3931"/>
    <w:rsid w:val="001E4193"/>
    <w:rsid w:val="001E4282"/>
    <w:rsid w:val="001E48E2"/>
    <w:rsid w:val="001E5171"/>
    <w:rsid w:val="001E6269"/>
    <w:rsid w:val="001E6595"/>
    <w:rsid w:val="001E749C"/>
    <w:rsid w:val="001E7B35"/>
    <w:rsid w:val="001F01DB"/>
    <w:rsid w:val="001F0670"/>
    <w:rsid w:val="001F076C"/>
    <w:rsid w:val="001F62CD"/>
    <w:rsid w:val="00201B2F"/>
    <w:rsid w:val="0020289A"/>
    <w:rsid w:val="00203DEB"/>
    <w:rsid w:val="00203FE3"/>
    <w:rsid w:val="00212138"/>
    <w:rsid w:val="00213702"/>
    <w:rsid w:val="00214C5A"/>
    <w:rsid w:val="00216AFC"/>
    <w:rsid w:val="00217518"/>
    <w:rsid w:val="00223EBB"/>
    <w:rsid w:val="002240D0"/>
    <w:rsid w:val="002243C9"/>
    <w:rsid w:val="00225E55"/>
    <w:rsid w:val="0023091B"/>
    <w:rsid w:val="00232125"/>
    <w:rsid w:val="002335CA"/>
    <w:rsid w:val="00237453"/>
    <w:rsid w:val="002427F2"/>
    <w:rsid w:val="00244AEC"/>
    <w:rsid w:val="002450F9"/>
    <w:rsid w:val="0024678E"/>
    <w:rsid w:val="00246860"/>
    <w:rsid w:val="00247142"/>
    <w:rsid w:val="00251207"/>
    <w:rsid w:val="00251956"/>
    <w:rsid w:val="00251C60"/>
    <w:rsid w:val="00252239"/>
    <w:rsid w:val="00253931"/>
    <w:rsid w:val="00254D08"/>
    <w:rsid w:val="00255D7F"/>
    <w:rsid w:val="00260797"/>
    <w:rsid w:val="00261BB4"/>
    <w:rsid w:val="00261E50"/>
    <w:rsid w:val="00261E59"/>
    <w:rsid w:val="002621E4"/>
    <w:rsid w:val="00264388"/>
    <w:rsid w:val="00264CD2"/>
    <w:rsid w:val="00265122"/>
    <w:rsid w:val="00266041"/>
    <w:rsid w:val="00266F8A"/>
    <w:rsid w:val="00270381"/>
    <w:rsid w:val="00271F02"/>
    <w:rsid w:val="00272E47"/>
    <w:rsid w:val="00274A91"/>
    <w:rsid w:val="00275659"/>
    <w:rsid w:val="00275D43"/>
    <w:rsid w:val="00276BFE"/>
    <w:rsid w:val="00282BC2"/>
    <w:rsid w:val="002847B3"/>
    <w:rsid w:val="00284853"/>
    <w:rsid w:val="00284DC4"/>
    <w:rsid w:val="002853D0"/>
    <w:rsid w:val="00285A81"/>
    <w:rsid w:val="00285AFC"/>
    <w:rsid w:val="0028781B"/>
    <w:rsid w:val="002900BF"/>
    <w:rsid w:val="002903B2"/>
    <w:rsid w:val="00290643"/>
    <w:rsid w:val="00290C97"/>
    <w:rsid w:val="0029665B"/>
    <w:rsid w:val="00296BA7"/>
    <w:rsid w:val="002974E8"/>
    <w:rsid w:val="002A165D"/>
    <w:rsid w:val="002A3677"/>
    <w:rsid w:val="002A5884"/>
    <w:rsid w:val="002A5E6B"/>
    <w:rsid w:val="002A6C6C"/>
    <w:rsid w:val="002A7F9C"/>
    <w:rsid w:val="002B03C9"/>
    <w:rsid w:val="002B049A"/>
    <w:rsid w:val="002B1F70"/>
    <w:rsid w:val="002B32A9"/>
    <w:rsid w:val="002B534F"/>
    <w:rsid w:val="002B58EB"/>
    <w:rsid w:val="002B6615"/>
    <w:rsid w:val="002B6A18"/>
    <w:rsid w:val="002B78F1"/>
    <w:rsid w:val="002B7AF0"/>
    <w:rsid w:val="002C0429"/>
    <w:rsid w:val="002C0A30"/>
    <w:rsid w:val="002C1057"/>
    <w:rsid w:val="002C1786"/>
    <w:rsid w:val="002C1E68"/>
    <w:rsid w:val="002C4073"/>
    <w:rsid w:val="002C4434"/>
    <w:rsid w:val="002C55C1"/>
    <w:rsid w:val="002C6DD9"/>
    <w:rsid w:val="002D079E"/>
    <w:rsid w:val="002D1B26"/>
    <w:rsid w:val="002D31AC"/>
    <w:rsid w:val="002D42D7"/>
    <w:rsid w:val="002D53FC"/>
    <w:rsid w:val="002D5F8A"/>
    <w:rsid w:val="002E0FA7"/>
    <w:rsid w:val="002E1A61"/>
    <w:rsid w:val="002E2953"/>
    <w:rsid w:val="002E79C4"/>
    <w:rsid w:val="002F0475"/>
    <w:rsid w:val="002F05B6"/>
    <w:rsid w:val="002F2AF3"/>
    <w:rsid w:val="002F2C42"/>
    <w:rsid w:val="002F38E8"/>
    <w:rsid w:val="002F3910"/>
    <w:rsid w:val="002F3EE4"/>
    <w:rsid w:val="002F440F"/>
    <w:rsid w:val="002F589A"/>
    <w:rsid w:val="00302451"/>
    <w:rsid w:val="00302FA7"/>
    <w:rsid w:val="00303F9A"/>
    <w:rsid w:val="0030416D"/>
    <w:rsid w:val="00305875"/>
    <w:rsid w:val="00306B41"/>
    <w:rsid w:val="00306D0C"/>
    <w:rsid w:val="00310FFB"/>
    <w:rsid w:val="00312794"/>
    <w:rsid w:val="00312F0F"/>
    <w:rsid w:val="003135EB"/>
    <w:rsid w:val="00313A7B"/>
    <w:rsid w:val="0031488C"/>
    <w:rsid w:val="00315550"/>
    <w:rsid w:val="003161C5"/>
    <w:rsid w:val="00321088"/>
    <w:rsid w:val="00321330"/>
    <w:rsid w:val="003233BF"/>
    <w:rsid w:val="00324233"/>
    <w:rsid w:val="00324470"/>
    <w:rsid w:val="003259DB"/>
    <w:rsid w:val="00326D38"/>
    <w:rsid w:val="00330CBD"/>
    <w:rsid w:val="00333238"/>
    <w:rsid w:val="003340BE"/>
    <w:rsid w:val="00334756"/>
    <w:rsid w:val="0033489C"/>
    <w:rsid w:val="00334D6C"/>
    <w:rsid w:val="003368FD"/>
    <w:rsid w:val="00340232"/>
    <w:rsid w:val="0034036F"/>
    <w:rsid w:val="00340E97"/>
    <w:rsid w:val="00345E5C"/>
    <w:rsid w:val="00347A4F"/>
    <w:rsid w:val="003503FD"/>
    <w:rsid w:val="00351A93"/>
    <w:rsid w:val="00351E4E"/>
    <w:rsid w:val="00352538"/>
    <w:rsid w:val="00352764"/>
    <w:rsid w:val="00352CD8"/>
    <w:rsid w:val="00353A4C"/>
    <w:rsid w:val="00355476"/>
    <w:rsid w:val="003561A6"/>
    <w:rsid w:val="00357914"/>
    <w:rsid w:val="00357EBD"/>
    <w:rsid w:val="00360653"/>
    <w:rsid w:val="00363C1B"/>
    <w:rsid w:val="00363C4C"/>
    <w:rsid w:val="00363F12"/>
    <w:rsid w:val="0036666B"/>
    <w:rsid w:val="00367270"/>
    <w:rsid w:val="00371879"/>
    <w:rsid w:val="00371C2A"/>
    <w:rsid w:val="00372014"/>
    <w:rsid w:val="00372C38"/>
    <w:rsid w:val="00374113"/>
    <w:rsid w:val="003768D0"/>
    <w:rsid w:val="003803EF"/>
    <w:rsid w:val="003823BC"/>
    <w:rsid w:val="00385585"/>
    <w:rsid w:val="0038626C"/>
    <w:rsid w:val="0038663A"/>
    <w:rsid w:val="00390146"/>
    <w:rsid w:val="003917E1"/>
    <w:rsid w:val="0039183B"/>
    <w:rsid w:val="00395321"/>
    <w:rsid w:val="003971A4"/>
    <w:rsid w:val="003A00D8"/>
    <w:rsid w:val="003A0966"/>
    <w:rsid w:val="003A149A"/>
    <w:rsid w:val="003A15F3"/>
    <w:rsid w:val="003A228C"/>
    <w:rsid w:val="003A37D3"/>
    <w:rsid w:val="003A475C"/>
    <w:rsid w:val="003A5D87"/>
    <w:rsid w:val="003A74FB"/>
    <w:rsid w:val="003B1D10"/>
    <w:rsid w:val="003B1E56"/>
    <w:rsid w:val="003B242D"/>
    <w:rsid w:val="003B3342"/>
    <w:rsid w:val="003B460B"/>
    <w:rsid w:val="003B5A5F"/>
    <w:rsid w:val="003B65B1"/>
    <w:rsid w:val="003C1012"/>
    <w:rsid w:val="003C12C8"/>
    <w:rsid w:val="003C310E"/>
    <w:rsid w:val="003C4BC1"/>
    <w:rsid w:val="003C5734"/>
    <w:rsid w:val="003C5A6B"/>
    <w:rsid w:val="003C64DC"/>
    <w:rsid w:val="003C6F35"/>
    <w:rsid w:val="003C7398"/>
    <w:rsid w:val="003C7428"/>
    <w:rsid w:val="003D2181"/>
    <w:rsid w:val="003D2C4C"/>
    <w:rsid w:val="003D2D7B"/>
    <w:rsid w:val="003D448C"/>
    <w:rsid w:val="003D5270"/>
    <w:rsid w:val="003D5AB5"/>
    <w:rsid w:val="003D6A7F"/>
    <w:rsid w:val="003D6C96"/>
    <w:rsid w:val="003E026C"/>
    <w:rsid w:val="003E2023"/>
    <w:rsid w:val="003E232D"/>
    <w:rsid w:val="003E40A1"/>
    <w:rsid w:val="003E4AA8"/>
    <w:rsid w:val="003E5205"/>
    <w:rsid w:val="003E5F07"/>
    <w:rsid w:val="003E798C"/>
    <w:rsid w:val="003F2A44"/>
    <w:rsid w:val="003F30EA"/>
    <w:rsid w:val="003F411C"/>
    <w:rsid w:val="003F4207"/>
    <w:rsid w:val="003F460D"/>
    <w:rsid w:val="003F4E23"/>
    <w:rsid w:val="003F5E64"/>
    <w:rsid w:val="003F6B75"/>
    <w:rsid w:val="004005F0"/>
    <w:rsid w:val="0040201E"/>
    <w:rsid w:val="00403D62"/>
    <w:rsid w:val="004054B2"/>
    <w:rsid w:val="004057FD"/>
    <w:rsid w:val="0040591B"/>
    <w:rsid w:val="00406F48"/>
    <w:rsid w:val="004113AA"/>
    <w:rsid w:val="004164DC"/>
    <w:rsid w:val="0042016B"/>
    <w:rsid w:val="004223FC"/>
    <w:rsid w:val="00423533"/>
    <w:rsid w:val="0042465F"/>
    <w:rsid w:val="0042573C"/>
    <w:rsid w:val="00425798"/>
    <w:rsid w:val="00426DDF"/>
    <w:rsid w:val="00427F3B"/>
    <w:rsid w:val="00432569"/>
    <w:rsid w:val="00432B9E"/>
    <w:rsid w:val="00433CCC"/>
    <w:rsid w:val="00434859"/>
    <w:rsid w:val="00435C6B"/>
    <w:rsid w:val="004400BF"/>
    <w:rsid w:val="00441B7C"/>
    <w:rsid w:val="00441DFF"/>
    <w:rsid w:val="00443C77"/>
    <w:rsid w:val="004449B7"/>
    <w:rsid w:val="00444FB9"/>
    <w:rsid w:val="00445DAA"/>
    <w:rsid w:val="00446999"/>
    <w:rsid w:val="00446AE0"/>
    <w:rsid w:val="00447CBF"/>
    <w:rsid w:val="00447F82"/>
    <w:rsid w:val="0045518A"/>
    <w:rsid w:val="00455E13"/>
    <w:rsid w:val="00457035"/>
    <w:rsid w:val="00460D1F"/>
    <w:rsid w:val="00461A5F"/>
    <w:rsid w:val="004622DE"/>
    <w:rsid w:val="00462BA9"/>
    <w:rsid w:val="00464A15"/>
    <w:rsid w:val="00473D20"/>
    <w:rsid w:val="00476033"/>
    <w:rsid w:val="00480860"/>
    <w:rsid w:val="0048116E"/>
    <w:rsid w:val="004815FE"/>
    <w:rsid w:val="00482B64"/>
    <w:rsid w:val="004851F8"/>
    <w:rsid w:val="004857FA"/>
    <w:rsid w:val="004867DB"/>
    <w:rsid w:val="00486C1E"/>
    <w:rsid w:val="00490218"/>
    <w:rsid w:val="004902D9"/>
    <w:rsid w:val="00490592"/>
    <w:rsid w:val="00490627"/>
    <w:rsid w:val="004918AD"/>
    <w:rsid w:val="00491E2A"/>
    <w:rsid w:val="004928FC"/>
    <w:rsid w:val="00494C9B"/>
    <w:rsid w:val="00494E2D"/>
    <w:rsid w:val="00495B0B"/>
    <w:rsid w:val="00496DE2"/>
    <w:rsid w:val="00497367"/>
    <w:rsid w:val="00497924"/>
    <w:rsid w:val="004A0A69"/>
    <w:rsid w:val="004A1104"/>
    <w:rsid w:val="004A2750"/>
    <w:rsid w:val="004A3FBE"/>
    <w:rsid w:val="004A4377"/>
    <w:rsid w:val="004A4FD4"/>
    <w:rsid w:val="004A54B8"/>
    <w:rsid w:val="004A5D51"/>
    <w:rsid w:val="004A7DE0"/>
    <w:rsid w:val="004B05A2"/>
    <w:rsid w:val="004B2FF5"/>
    <w:rsid w:val="004B38A2"/>
    <w:rsid w:val="004B4E03"/>
    <w:rsid w:val="004B540F"/>
    <w:rsid w:val="004B6E88"/>
    <w:rsid w:val="004C177B"/>
    <w:rsid w:val="004C1EB6"/>
    <w:rsid w:val="004C34CC"/>
    <w:rsid w:val="004C6674"/>
    <w:rsid w:val="004C777C"/>
    <w:rsid w:val="004D0BB6"/>
    <w:rsid w:val="004D0F1D"/>
    <w:rsid w:val="004D716D"/>
    <w:rsid w:val="004E0C04"/>
    <w:rsid w:val="004E1505"/>
    <w:rsid w:val="004E1905"/>
    <w:rsid w:val="004E2EB0"/>
    <w:rsid w:val="004E4821"/>
    <w:rsid w:val="004E751B"/>
    <w:rsid w:val="004E76A8"/>
    <w:rsid w:val="004E7EA8"/>
    <w:rsid w:val="004F040C"/>
    <w:rsid w:val="004F061B"/>
    <w:rsid w:val="004F0F1C"/>
    <w:rsid w:val="004F2E03"/>
    <w:rsid w:val="004F4A8A"/>
    <w:rsid w:val="004F6390"/>
    <w:rsid w:val="00501671"/>
    <w:rsid w:val="005032D3"/>
    <w:rsid w:val="00503FDC"/>
    <w:rsid w:val="005060CB"/>
    <w:rsid w:val="00506CB0"/>
    <w:rsid w:val="005076F7"/>
    <w:rsid w:val="00512C81"/>
    <w:rsid w:val="00513594"/>
    <w:rsid w:val="0051446D"/>
    <w:rsid w:val="00514C98"/>
    <w:rsid w:val="0051501D"/>
    <w:rsid w:val="0051514D"/>
    <w:rsid w:val="0051580A"/>
    <w:rsid w:val="00520C40"/>
    <w:rsid w:val="00522C64"/>
    <w:rsid w:val="005235A0"/>
    <w:rsid w:val="00524FA2"/>
    <w:rsid w:val="00525354"/>
    <w:rsid w:val="00525A5E"/>
    <w:rsid w:val="0052691E"/>
    <w:rsid w:val="0052752E"/>
    <w:rsid w:val="00534723"/>
    <w:rsid w:val="005366F5"/>
    <w:rsid w:val="0054229A"/>
    <w:rsid w:val="005425F9"/>
    <w:rsid w:val="00542B02"/>
    <w:rsid w:val="005455FA"/>
    <w:rsid w:val="005461E1"/>
    <w:rsid w:val="0054637B"/>
    <w:rsid w:val="00546D54"/>
    <w:rsid w:val="0055000C"/>
    <w:rsid w:val="00554E0E"/>
    <w:rsid w:val="00556A2C"/>
    <w:rsid w:val="0055762D"/>
    <w:rsid w:val="00557798"/>
    <w:rsid w:val="00561458"/>
    <w:rsid w:val="00562478"/>
    <w:rsid w:val="005624B6"/>
    <w:rsid w:val="005640DC"/>
    <w:rsid w:val="005648B5"/>
    <w:rsid w:val="00566AE6"/>
    <w:rsid w:val="00571EA0"/>
    <w:rsid w:val="00572119"/>
    <w:rsid w:val="0057274B"/>
    <w:rsid w:val="005730F5"/>
    <w:rsid w:val="00573DED"/>
    <w:rsid w:val="005755DA"/>
    <w:rsid w:val="0058041D"/>
    <w:rsid w:val="005804AB"/>
    <w:rsid w:val="00580928"/>
    <w:rsid w:val="00583A64"/>
    <w:rsid w:val="00584E62"/>
    <w:rsid w:val="00584FBD"/>
    <w:rsid w:val="00587A4A"/>
    <w:rsid w:val="00587D2D"/>
    <w:rsid w:val="00590FC7"/>
    <w:rsid w:val="00593FD1"/>
    <w:rsid w:val="00594BCA"/>
    <w:rsid w:val="00597CC8"/>
    <w:rsid w:val="005A0D4D"/>
    <w:rsid w:val="005A16BA"/>
    <w:rsid w:val="005A2464"/>
    <w:rsid w:val="005A38FB"/>
    <w:rsid w:val="005A4D1B"/>
    <w:rsid w:val="005A5297"/>
    <w:rsid w:val="005A5542"/>
    <w:rsid w:val="005B0143"/>
    <w:rsid w:val="005B0CB0"/>
    <w:rsid w:val="005B26C9"/>
    <w:rsid w:val="005B310E"/>
    <w:rsid w:val="005B4CE5"/>
    <w:rsid w:val="005B6FB2"/>
    <w:rsid w:val="005C0301"/>
    <w:rsid w:val="005C1515"/>
    <w:rsid w:val="005C2A88"/>
    <w:rsid w:val="005C3446"/>
    <w:rsid w:val="005C5BBF"/>
    <w:rsid w:val="005C6349"/>
    <w:rsid w:val="005C6A6E"/>
    <w:rsid w:val="005D03EE"/>
    <w:rsid w:val="005D04E8"/>
    <w:rsid w:val="005D065A"/>
    <w:rsid w:val="005D2EEA"/>
    <w:rsid w:val="005D31A5"/>
    <w:rsid w:val="005D574D"/>
    <w:rsid w:val="005D65DA"/>
    <w:rsid w:val="005E03FD"/>
    <w:rsid w:val="005E43E8"/>
    <w:rsid w:val="005E4ACA"/>
    <w:rsid w:val="005E4E13"/>
    <w:rsid w:val="005E5537"/>
    <w:rsid w:val="005E5DFE"/>
    <w:rsid w:val="005E6ACB"/>
    <w:rsid w:val="005E7724"/>
    <w:rsid w:val="005E7A4C"/>
    <w:rsid w:val="005E7F1F"/>
    <w:rsid w:val="005F11CB"/>
    <w:rsid w:val="005F1E58"/>
    <w:rsid w:val="005F230D"/>
    <w:rsid w:val="005F3A6D"/>
    <w:rsid w:val="005F72B5"/>
    <w:rsid w:val="005F77B7"/>
    <w:rsid w:val="005F7BBE"/>
    <w:rsid w:val="00603BE7"/>
    <w:rsid w:val="00604082"/>
    <w:rsid w:val="00604890"/>
    <w:rsid w:val="00604CC1"/>
    <w:rsid w:val="00605F54"/>
    <w:rsid w:val="006107D5"/>
    <w:rsid w:val="00611472"/>
    <w:rsid w:val="006117B8"/>
    <w:rsid w:val="00612437"/>
    <w:rsid w:val="0061261C"/>
    <w:rsid w:val="0061293D"/>
    <w:rsid w:val="006131DC"/>
    <w:rsid w:val="00613AFE"/>
    <w:rsid w:val="00614906"/>
    <w:rsid w:val="00614C7C"/>
    <w:rsid w:val="00615620"/>
    <w:rsid w:val="00615CAA"/>
    <w:rsid w:val="00616398"/>
    <w:rsid w:val="00616B9B"/>
    <w:rsid w:val="006176CE"/>
    <w:rsid w:val="00617CB3"/>
    <w:rsid w:val="0062050A"/>
    <w:rsid w:val="00621493"/>
    <w:rsid w:val="00624798"/>
    <w:rsid w:val="00625F51"/>
    <w:rsid w:val="00626B53"/>
    <w:rsid w:val="00632A5D"/>
    <w:rsid w:val="006344C3"/>
    <w:rsid w:val="00635651"/>
    <w:rsid w:val="00636E01"/>
    <w:rsid w:val="006375A6"/>
    <w:rsid w:val="00640963"/>
    <w:rsid w:val="00641C75"/>
    <w:rsid w:val="00642830"/>
    <w:rsid w:val="00642C81"/>
    <w:rsid w:val="00642EF4"/>
    <w:rsid w:val="00643527"/>
    <w:rsid w:val="006438AF"/>
    <w:rsid w:val="006438CD"/>
    <w:rsid w:val="00644FE0"/>
    <w:rsid w:val="0064583F"/>
    <w:rsid w:val="00646869"/>
    <w:rsid w:val="006471E3"/>
    <w:rsid w:val="00647BDD"/>
    <w:rsid w:val="00651D85"/>
    <w:rsid w:val="006533C6"/>
    <w:rsid w:val="00654A8B"/>
    <w:rsid w:val="0065507F"/>
    <w:rsid w:val="00660388"/>
    <w:rsid w:val="00660600"/>
    <w:rsid w:val="00661E75"/>
    <w:rsid w:val="006629E5"/>
    <w:rsid w:val="006647B3"/>
    <w:rsid w:val="006671CE"/>
    <w:rsid w:val="00670D44"/>
    <w:rsid w:val="006720ED"/>
    <w:rsid w:val="00674A8F"/>
    <w:rsid w:val="00674CE7"/>
    <w:rsid w:val="00674F41"/>
    <w:rsid w:val="006808E8"/>
    <w:rsid w:val="00680F6B"/>
    <w:rsid w:val="006812B9"/>
    <w:rsid w:val="00681986"/>
    <w:rsid w:val="006820A6"/>
    <w:rsid w:val="006830D3"/>
    <w:rsid w:val="006832D1"/>
    <w:rsid w:val="0068509B"/>
    <w:rsid w:val="0068593A"/>
    <w:rsid w:val="00685B16"/>
    <w:rsid w:val="00687C2F"/>
    <w:rsid w:val="00691788"/>
    <w:rsid w:val="00693664"/>
    <w:rsid w:val="0069419A"/>
    <w:rsid w:val="00695124"/>
    <w:rsid w:val="00695895"/>
    <w:rsid w:val="006963A5"/>
    <w:rsid w:val="006966A6"/>
    <w:rsid w:val="006979AB"/>
    <w:rsid w:val="006A107C"/>
    <w:rsid w:val="006A12D5"/>
    <w:rsid w:val="006A1C4D"/>
    <w:rsid w:val="006A20C3"/>
    <w:rsid w:val="006A436B"/>
    <w:rsid w:val="006A664F"/>
    <w:rsid w:val="006A6D18"/>
    <w:rsid w:val="006A72EA"/>
    <w:rsid w:val="006A7D82"/>
    <w:rsid w:val="006B0F80"/>
    <w:rsid w:val="006B3A68"/>
    <w:rsid w:val="006B4155"/>
    <w:rsid w:val="006B590B"/>
    <w:rsid w:val="006C1A41"/>
    <w:rsid w:val="006C1DDC"/>
    <w:rsid w:val="006C1FB0"/>
    <w:rsid w:val="006C2CB5"/>
    <w:rsid w:val="006C3758"/>
    <w:rsid w:val="006C4A16"/>
    <w:rsid w:val="006C58E5"/>
    <w:rsid w:val="006C5C08"/>
    <w:rsid w:val="006C6E09"/>
    <w:rsid w:val="006C75BF"/>
    <w:rsid w:val="006D0852"/>
    <w:rsid w:val="006D20F4"/>
    <w:rsid w:val="006D22FC"/>
    <w:rsid w:val="006D2591"/>
    <w:rsid w:val="006D3133"/>
    <w:rsid w:val="006D6923"/>
    <w:rsid w:val="006D6C5E"/>
    <w:rsid w:val="006D7A14"/>
    <w:rsid w:val="006E00DA"/>
    <w:rsid w:val="006E0605"/>
    <w:rsid w:val="006E085A"/>
    <w:rsid w:val="006E0ECC"/>
    <w:rsid w:val="006E121F"/>
    <w:rsid w:val="006E14CA"/>
    <w:rsid w:val="006E3872"/>
    <w:rsid w:val="006E6A9F"/>
    <w:rsid w:val="006F09BA"/>
    <w:rsid w:val="006F1946"/>
    <w:rsid w:val="006F30E1"/>
    <w:rsid w:val="006F3301"/>
    <w:rsid w:val="006F6155"/>
    <w:rsid w:val="006F6C2A"/>
    <w:rsid w:val="007011FA"/>
    <w:rsid w:val="0070222F"/>
    <w:rsid w:val="00703FED"/>
    <w:rsid w:val="00705071"/>
    <w:rsid w:val="00705A96"/>
    <w:rsid w:val="00705BC7"/>
    <w:rsid w:val="0070621C"/>
    <w:rsid w:val="00707474"/>
    <w:rsid w:val="00707890"/>
    <w:rsid w:val="0071102D"/>
    <w:rsid w:val="00711F05"/>
    <w:rsid w:val="0071245A"/>
    <w:rsid w:val="007134C2"/>
    <w:rsid w:val="00713D9E"/>
    <w:rsid w:val="007164F6"/>
    <w:rsid w:val="00716D65"/>
    <w:rsid w:val="00716FE3"/>
    <w:rsid w:val="0071745B"/>
    <w:rsid w:val="00721311"/>
    <w:rsid w:val="00722A88"/>
    <w:rsid w:val="00726311"/>
    <w:rsid w:val="00726C36"/>
    <w:rsid w:val="00727218"/>
    <w:rsid w:val="007275DE"/>
    <w:rsid w:val="007277EA"/>
    <w:rsid w:val="00727DDA"/>
    <w:rsid w:val="00732953"/>
    <w:rsid w:val="00733519"/>
    <w:rsid w:val="00734D0B"/>
    <w:rsid w:val="00735E99"/>
    <w:rsid w:val="00736460"/>
    <w:rsid w:val="0073689B"/>
    <w:rsid w:val="00736AFE"/>
    <w:rsid w:val="00740392"/>
    <w:rsid w:val="007417B1"/>
    <w:rsid w:val="007426E2"/>
    <w:rsid w:val="00743ACE"/>
    <w:rsid w:val="00746DB8"/>
    <w:rsid w:val="0075044B"/>
    <w:rsid w:val="007512D4"/>
    <w:rsid w:val="00752617"/>
    <w:rsid w:val="007526C0"/>
    <w:rsid w:val="0075374D"/>
    <w:rsid w:val="00757ED5"/>
    <w:rsid w:val="00761DE5"/>
    <w:rsid w:val="00762550"/>
    <w:rsid w:val="00762AA4"/>
    <w:rsid w:val="007641D2"/>
    <w:rsid w:val="00765291"/>
    <w:rsid w:val="00765F85"/>
    <w:rsid w:val="00766EEA"/>
    <w:rsid w:val="007676BB"/>
    <w:rsid w:val="007702B3"/>
    <w:rsid w:val="00770E41"/>
    <w:rsid w:val="007720FD"/>
    <w:rsid w:val="0077246B"/>
    <w:rsid w:val="00773855"/>
    <w:rsid w:val="00774980"/>
    <w:rsid w:val="00774991"/>
    <w:rsid w:val="0077572E"/>
    <w:rsid w:val="00776445"/>
    <w:rsid w:val="007769EF"/>
    <w:rsid w:val="00776ECE"/>
    <w:rsid w:val="00777CF0"/>
    <w:rsid w:val="00780BA9"/>
    <w:rsid w:val="00783318"/>
    <w:rsid w:val="00784B93"/>
    <w:rsid w:val="00791842"/>
    <w:rsid w:val="00792970"/>
    <w:rsid w:val="00795C74"/>
    <w:rsid w:val="00795E9B"/>
    <w:rsid w:val="00796757"/>
    <w:rsid w:val="00796E75"/>
    <w:rsid w:val="00797135"/>
    <w:rsid w:val="0079783B"/>
    <w:rsid w:val="007A0D34"/>
    <w:rsid w:val="007A2192"/>
    <w:rsid w:val="007A28A2"/>
    <w:rsid w:val="007A38DE"/>
    <w:rsid w:val="007A5245"/>
    <w:rsid w:val="007A52A0"/>
    <w:rsid w:val="007A6361"/>
    <w:rsid w:val="007A6A03"/>
    <w:rsid w:val="007A6DCD"/>
    <w:rsid w:val="007A7FB4"/>
    <w:rsid w:val="007B03B2"/>
    <w:rsid w:val="007B2400"/>
    <w:rsid w:val="007B3B76"/>
    <w:rsid w:val="007B3C0C"/>
    <w:rsid w:val="007B41B5"/>
    <w:rsid w:val="007B4469"/>
    <w:rsid w:val="007B4B0F"/>
    <w:rsid w:val="007B5012"/>
    <w:rsid w:val="007B580E"/>
    <w:rsid w:val="007B5D93"/>
    <w:rsid w:val="007B62E0"/>
    <w:rsid w:val="007B7984"/>
    <w:rsid w:val="007C12D0"/>
    <w:rsid w:val="007C3147"/>
    <w:rsid w:val="007C3A56"/>
    <w:rsid w:val="007C57E5"/>
    <w:rsid w:val="007C62A0"/>
    <w:rsid w:val="007C7955"/>
    <w:rsid w:val="007D5D01"/>
    <w:rsid w:val="007D60AC"/>
    <w:rsid w:val="007D6E7A"/>
    <w:rsid w:val="007E030E"/>
    <w:rsid w:val="007E146B"/>
    <w:rsid w:val="007E1633"/>
    <w:rsid w:val="007E227F"/>
    <w:rsid w:val="007E239E"/>
    <w:rsid w:val="007E2B63"/>
    <w:rsid w:val="007E352A"/>
    <w:rsid w:val="007E383B"/>
    <w:rsid w:val="007E47E4"/>
    <w:rsid w:val="007E6EC9"/>
    <w:rsid w:val="007E7759"/>
    <w:rsid w:val="007E7E7A"/>
    <w:rsid w:val="007F048F"/>
    <w:rsid w:val="007F0EB6"/>
    <w:rsid w:val="007F1BD8"/>
    <w:rsid w:val="007F1D5D"/>
    <w:rsid w:val="007F2C64"/>
    <w:rsid w:val="007F6E7B"/>
    <w:rsid w:val="007F7CBD"/>
    <w:rsid w:val="008003BC"/>
    <w:rsid w:val="00801405"/>
    <w:rsid w:val="00801AB8"/>
    <w:rsid w:val="00801B7B"/>
    <w:rsid w:val="00804415"/>
    <w:rsid w:val="008065D9"/>
    <w:rsid w:val="00807E1C"/>
    <w:rsid w:val="00811E04"/>
    <w:rsid w:val="00812A1D"/>
    <w:rsid w:val="00812AC8"/>
    <w:rsid w:val="008134AB"/>
    <w:rsid w:val="008151BC"/>
    <w:rsid w:val="008154D4"/>
    <w:rsid w:val="00815C10"/>
    <w:rsid w:val="00815D8F"/>
    <w:rsid w:val="00816A04"/>
    <w:rsid w:val="00816AE0"/>
    <w:rsid w:val="0082238A"/>
    <w:rsid w:val="00824A48"/>
    <w:rsid w:val="00826391"/>
    <w:rsid w:val="00826650"/>
    <w:rsid w:val="00826BA3"/>
    <w:rsid w:val="00826F0D"/>
    <w:rsid w:val="00830357"/>
    <w:rsid w:val="0083389A"/>
    <w:rsid w:val="008345F6"/>
    <w:rsid w:val="00834637"/>
    <w:rsid w:val="008357D4"/>
    <w:rsid w:val="00837857"/>
    <w:rsid w:val="00837C5B"/>
    <w:rsid w:val="00841B83"/>
    <w:rsid w:val="00843B09"/>
    <w:rsid w:val="0084503B"/>
    <w:rsid w:val="008467F6"/>
    <w:rsid w:val="00850214"/>
    <w:rsid w:val="00850F82"/>
    <w:rsid w:val="008513AC"/>
    <w:rsid w:val="0085353A"/>
    <w:rsid w:val="00855556"/>
    <w:rsid w:val="008559EC"/>
    <w:rsid w:val="00861AD2"/>
    <w:rsid w:val="00862B6F"/>
    <w:rsid w:val="00864AF2"/>
    <w:rsid w:val="00865CA8"/>
    <w:rsid w:val="008702C8"/>
    <w:rsid w:val="008705AB"/>
    <w:rsid w:val="00870F0F"/>
    <w:rsid w:val="0087178E"/>
    <w:rsid w:val="00871FB1"/>
    <w:rsid w:val="0087360A"/>
    <w:rsid w:val="00874569"/>
    <w:rsid w:val="008745CC"/>
    <w:rsid w:val="00875164"/>
    <w:rsid w:val="008760B9"/>
    <w:rsid w:val="00877B93"/>
    <w:rsid w:val="0088122B"/>
    <w:rsid w:val="008841C6"/>
    <w:rsid w:val="008845DC"/>
    <w:rsid w:val="00884EAC"/>
    <w:rsid w:val="00885B6A"/>
    <w:rsid w:val="00885C32"/>
    <w:rsid w:val="00886572"/>
    <w:rsid w:val="0088724C"/>
    <w:rsid w:val="00887C8A"/>
    <w:rsid w:val="00890E82"/>
    <w:rsid w:val="008932E5"/>
    <w:rsid w:val="00894C7B"/>
    <w:rsid w:val="00894F67"/>
    <w:rsid w:val="00895313"/>
    <w:rsid w:val="00896C6F"/>
    <w:rsid w:val="008973F3"/>
    <w:rsid w:val="008A521D"/>
    <w:rsid w:val="008A56CE"/>
    <w:rsid w:val="008A5B2A"/>
    <w:rsid w:val="008A6444"/>
    <w:rsid w:val="008A6D36"/>
    <w:rsid w:val="008B0E46"/>
    <w:rsid w:val="008B1FA1"/>
    <w:rsid w:val="008B24DC"/>
    <w:rsid w:val="008B33A8"/>
    <w:rsid w:val="008B538F"/>
    <w:rsid w:val="008B59D5"/>
    <w:rsid w:val="008B6E23"/>
    <w:rsid w:val="008C0074"/>
    <w:rsid w:val="008C17FA"/>
    <w:rsid w:val="008C359A"/>
    <w:rsid w:val="008C42C0"/>
    <w:rsid w:val="008C433B"/>
    <w:rsid w:val="008C4FC9"/>
    <w:rsid w:val="008C5040"/>
    <w:rsid w:val="008C5C45"/>
    <w:rsid w:val="008C6B1A"/>
    <w:rsid w:val="008C73E9"/>
    <w:rsid w:val="008C7E01"/>
    <w:rsid w:val="008D1EA3"/>
    <w:rsid w:val="008D277D"/>
    <w:rsid w:val="008D4700"/>
    <w:rsid w:val="008D5098"/>
    <w:rsid w:val="008D54E1"/>
    <w:rsid w:val="008D6AA9"/>
    <w:rsid w:val="008E190E"/>
    <w:rsid w:val="008E1D09"/>
    <w:rsid w:val="008E1D33"/>
    <w:rsid w:val="008E4A13"/>
    <w:rsid w:val="008E4F5F"/>
    <w:rsid w:val="008E4F9E"/>
    <w:rsid w:val="008E6C40"/>
    <w:rsid w:val="008E70A4"/>
    <w:rsid w:val="008E7BFA"/>
    <w:rsid w:val="008F10FF"/>
    <w:rsid w:val="008F2546"/>
    <w:rsid w:val="008F74AA"/>
    <w:rsid w:val="008F7C4B"/>
    <w:rsid w:val="008F7D9A"/>
    <w:rsid w:val="0090027B"/>
    <w:rsid w:val="009028DC"/>
    <w:rsid w:val="0090387F"/>
    <w:rsid w:val="00903CA1"/>
    <w:rsid w:val="0090455B"/>
    <w:rsid w:val="00905F75"/>
    <w:rsid w:val="00906041"/>
    <w:rsid w:val="0091064B"/>
    <w:rsid w:val="0091090F"/>
    <w:rsid w:val="00911079"/>
    <w:rsid w:val="0091308B"/>
    <w:rsid w:val="00915431"/>
    <w:rsid w:val="009173F4"/>
    <w:rsid w:val="0091752F"/>
    <w:rsid w:val="00917711"/>
    <w:rsid w:val="00921BBE"/>
    <w:rsid w:val="00921E76"/>
    <w:rsid w:val="00921EE6"/>
    <w:rsid w:val="00922B7A"/>
    <w:rsid w:val="00924311"/>
    <w:rsid w:val="00924728"/>
    <w:rsid w:val="00925DE5"/>
    <w:rsid w:val="00926A63"/>
    <w:rsid w:val="009312D8"/>
    <w:rsid w:val="00931E30"/>
    <w:rsid w:val="009329B6"/>
    <w:rsid w:val="00933CC6"/>
    <w:rsid w:val="0093432B"/>
    <w:rsid w:val="00935979"/>
    <w:rsid w:val="0093610B"/>
    <w:rsid w:val="009371DE"/>
    <w:rsid w:val="009373CE"/>
    <w:rsid w:val="0094455C"/>
    <w:rsid w:val="00944671"/>
    <w:rsid w:val="00944E39"/>
    <w:rsid w:val="009455B0"/>
    <w:rsid w:val="009477BC"/>
    <w:rsid w:val="009503D9"/>
    <w:rsid w:val="00950445"/>
    <w:rsid w:val="00950490"/>
    <w:rsid w:val="00952342"/>
    <w:rsid w:val="009544BC"/>
    <w:rsid w:val="00955EF0"/>
    <w:rsid w:val="00956641"/>
    <w:rsid w:val="009567D8"/>
    <w:rsid w:val="00957C40"/>
    <w:rsid w:val="00957CBC"/>
    <w:rsid w:val="009608BF"/>
    <w:rsid w:val="009630A7"/>
    <w:rsid w:val="00966C75"/>
    <w:rsid w:val="0097072A"/>
    <w:rsid w:val="0097159B"/>
    <w:rsid w:val="00971744"/>
    <w:rsid w:val="00973F81"/>
    <w:rsid w:val="00975695"/>
    <w:rsid w:val="00977004"/>
    <w:rsid w:val="00977BF7"/>
    <w:rsid w:val="00980E57"/>
    <w:rsid w:val="009812A9"/>
    <w:rsid w:val="00982928"/>
    <w:rsid w:val="00983BB4"/>
    <w:rsid w:val="00984919"/>
    <w:rsid w:val="00984C6B"/>
    <w:rsid w:val="0098621E"/>
    <w:rsid w:val="00986A05"/>
    <w:rsid w:val="0099054B"/>
    <w:rsid w:val="0099166E"/>
    <w:rsid w:val="00993460"/>
    <w:rsid w:val="00993979"/>
    <w:rsid w:val="00993D41"/>
    <w:rsid w:val="009959C6"/>
    <w:rsid w:val="00996135"/>
    <w:rsid w:val="0099743A"/>
    <w:rsid w:val="00997AE0"/>
    <w:rsid w:val="009A0118"/>
    <w:rsid w:val="009A1410"/>
    <w:rsid w:val="009A329C"/>
    <w:rsid w:val="009A3836"/>
    <w:rsid w:val="009A5B82"/>
    <w:rsid w:val="009A60F8"/>
    <w:rsid w:val="009A6689"/>
    <w:rsid w:val="009A74E9"/>
    <w:rsid w:val="009A7DFC"/>
    <w:rsid w:val="009B1425"/>
    <w:rsid w:val="009B15AF"/>
    <w:rsid w:val="009B222B"/>
    <w:rsid w:val="009B2522"/>
    <w:rsid w:val="009B275C"/>
    <w:rsid w:val="009B2CEB"/>
    <w:rsid w:val="009B2E0D"/>
    <w:rsid w:val="009B4986"/>
    <w:rsid w:val="009B4F11"/>
    <w:rsid w:val="009B5820"/>
    <w:rsid w:val="009B7B1D"/>
    <w:rsid w:val="009C15AF"/>
    <w:rsid w:val="009C257E"/>
    <w:rsid w:val="009C295D"/>
    <w:rsid w:val="009C3570"/>
    <w:rsid w:val="009C3BB9"/>
    <w:rsid w:val="009C3EA9"/>
    <w:rsid w:val="009C4896"/>
    <w:rsid w:val="009C7024"/>
    <w:rsid w:val="009D0864"/>
    <w:rsid w:val="009D1142"/>
    <w:rsid w:val="009D1C53"/>
    <w:rsid w:val="009D1CAF"/>
    <w:rsid w:val="009D36A3"/>
    <w:rsid w:val="009D7D45"/>
    <w:rsid w:val="009E4E00"/>
    <w:rsid w:val="009E50DC"/>
    <w:rsid w:val="009E7910"/>
    <w:rsid w:val="009E7A1B"/>
    <w:rsid w:val="009E7C8B"/>
    <w:rsid w:val="009F0D8D"/>
    <w:rsid w:val="009F1DED"/>
    <w:rsid w:val="009F3FFD"/>
    <w:rsid w:val="009F4021"/>
    <w:rsid w:val="009F420E"/>
    <w:rsid w:val="009F4EE3"/>
    <w:rsid w:val="009F7FE0"/>
    <w:rsid w:val="00A0156B"/>
    <w:rsid w:val="00A01E57"/>
    <w:rsid w:val="00A01E82"/>
    <w:rsid w:val="00A0257C"/>
    <w:rsid w:val="00A02B79"/>
    <w:rsid w:val="00A02DD2"/>
    <w:rsid w:val="00A0488E"/>
    <w:rsid w:val="00A077D1"/>
    <w:rsid w:val="00A10501"/>
    <w:rsid w:val="00A10A7E"/>
    <w:rsid w:val="00A12B34"/>
    <w:rsid w:val="00A14EC9"/>
    <w:rsid w:val="00A152F1"/>
    <w:rsid w:val="00A15346"/>
    <w:rsid w:val="00A20D77"/>
    <w:rsid w:val="00A212A4"/>
    <w:rsid w:val="00A219F9"/>
    <w:rsid w:val="00A22A11"/>
    <w:rsid w:val="00A22A22"/>
    <w:rsid w:val="00A23C8E"/>
    <w:rsid w:val="00A25054"/>
    <w:rsid w:val="00A25732"/>
    <w:rsid w:val="00A2600F"/>
    <w:rsid w:val="00A267E1"/>
    <w:rsid w:val="00A2695F"/>
    <w:rsid w:val="00A26EDB"/>
    <w:rsid w:val="00A27EBC"/>
    <w:rsid w:val="00A31AC7"/>
    <w:rsid w:val="00A339A1"/>
    <w:rsid w:val="00A33A13"/>
    <w:rsid w:val="00A34CEC"/>
    <w:rsid w:val="00A37245"/>
    <w:rsid w:val="00A376DC"/>
    <w:rsid w:val="00A4180A"/>
    <w:rsid w:val="00A41A3E"/>
    <w:rsid w:val="00A43D1F"/>
    <w:rsid w:val="00A45237"/>
    <w:rsid w:val="00A45DBB"/>
    <w:rsid w:val="00A46FD1"/>
    <w:rsid w:val="00A51163"/>
    <w:rsid w:val="00A51C61"/>
    <w:rsid w:val="00A52DF7"/>
    <w:rsid w:val="00A5344D"/>
    <w:rsid w:val="00A53A45"/>
    <w:rsid w:val="00A54324"/>
    <w:rsid w:val="00A56B2B"/>
    <w:rsid w:val="00A57128"/>
    <w:rsid w:val="00A5713C"/>
    <w:rsid w:val="00A6205D"/>
    <w:rsid w:val="00A62B0D"/>
    <w:rsid w:val="00A652E6"/>
    <w:rsid w:val="00A679AA"/>
    <w:rsid w:val="00A73476"/>
    <w:rsid w:val="00A744B7"/>
    <w:rsid w:val="00A77A3C"/>
    <w:rsid w:val="00A80640"/>
    <w:rsid w:val="00A80A9C"/>
    <w:rsid w:val="00A833A0"/>
    <w:rsid w:val="00A83722"/>
    <w:rsid w:val="00A83E8F"/>
    <w:rsid w:val="00A858F8"/>
    <w:rsid w:val="00A8591A"/>
    <w:rsid w:val="00A8690C"/>
    <w:rsid w:val="00A87053"/>
    <w:rsid w:val="00A91C5B"/>
    <w:rsid w:val="00A91F45"/>
    <w:rsid w:val="00A930FD"/>
    <w:rsid w:val="00A93AB2"/>
    <w:rsid w:val="00A9483D"/>
    <w:rsid w:val="00A9487A"/>
    <w:rsid w:val="00A948B7"/>
    <w:rsid w:val="00AA1055"/>
    <w:rsid w:val="00AA2B0B"/>
    <w:rsid w:val="00AA2E96"/>
    <w:rsid w:val="00AA3E2D"/>
    <w:rsid w:val="00AA5CC8"/>
    <w:rsid w:val="00AA6109"/>
    <w:rsid w:val="00AA6136"/>
    <w:rsid w:val="00AB03E8"/>
    <w:rsid w:val="00AB19EE"/>
    <w:rsid w:val="00AB449F"/>
    <w:rsid w:val="00AB60A8"/>
    <w:rsid w:val="00AB65BC"/>
    <w:rsid w:val="00AB697A"/>
    <w:rsid w:val="00AC200F"/>
    <w:rsid w:val="00AC2821"/>
    <w:rsid w:val="00AC4EAE"/>
    <w:rsid w:val="00AC6EC1"/>
    <w:rsid w:val="00AC727E"/>
    <w:rsid w:val="00AD0CAB"/>
    <w:rsid w:val="00AD181F"/>
    <w:rsid w:val="00AD1D88"/>
    <w:rsid w:val="00AD2152"/>
    <w:rsid w:val="00AD2762"/>
    <w:rsid w:val="00AD2E82"/>
    <w:rsid w:val="00AD4469"/>
    <w:rsid w:val="00AD54B2"/>
    <w:rsid w:val="00AD5AC4"/>
    <w:rsid w:val="00AD7281"/>
    <w:rsid w:val="00AE06CC"/>
    <w:rsid w:val="00AE1307"/>
    <w:rsid w:val="00AE1A28"/>
    <w:rsid w:val="00AE1B32"/>
    <w:rsid w:val="00AE230A"/>
    <w:rsid w:val="00AE35BE"/>
    <w:rsid w:val="00AE37F1"/>
    <w:rsid w:val="00AE42AF"/>
    <w:rsid w:val="00AE5916"/>
    <w:rsid w:val="00AF05A7"/>
    <w:rsid w:val="00AF3420"/>
    <w:rsid w:val="00AF37EF"/>
    <w:rsid w:val="00AF397D"/>
    <w:rsid w:val="00AF43B2"/>
    <w:rsid w:val="00AF58B6"/>
    <w:rsid w:val="00AF5DB8"/>
    <w:rsid w:val="00AF677F"/>
    <w:rsid w:val="00B008BE"/>
    <w:rsid w:val="00B01D01"/>
    <w:rsid w:val="00B0250A"/>
    <w:rsid w:val="00B05292"/>
    <w:rsid w:val="00B06330"/>
    <w:rsid w:val="00B1090F"/>
    <w:rsid w:val="00B10EB3"/>
    <w:rsid w:val="00B11263"/>
    <w:rsid w:val="00B140DE"/>
    <w:rsid w:val="00B14467"/>
    <w:rsid w:val="00B1526E"/>
    <w:rsid w:val="00B15EA6"/>
    <w:rsid w:val="00B17ED3"/>
    <w:rsid w:val="00B21B97"/>
    <w:rsid w:val="00B24423"/>
    <w:rsid w:val="00B251FE"/>
    <w:rsid w:val="00B27CC3"/>
    <w:rsid w:val="00B317E2"/>
    <w:rsid w:val="00B33A45"/>
    <w:rsid w:val="00B340C2"/>
    <w:rsid w:val="00B348D3"/>
    <w:rsid w:val="00B35B82"/>
    <w:rsid w:val="00B4068A"/>
    <w:rsid w:val="00B40A20"/>
    <w:rsid w:val="00B412CF"/>
    <w:rsid w:val="00B42AEB"/>
    <w:rsid w:val="00B42F57"/>
    <w:rsid w:val="00B441D9"/>
    <w:rsid w:val="00B45B0F"/>
    <w:rsid w:val="00B46541"/>
    <w:rsid w:val="00B46724"/>
    <w:rsid w:val="00B47678"/>
    <w:rsid w:val="00B47A21"/>
    <w:rsid w:val="00B50A6A"/>
    <w:rsid w:val="00B514B6"/>
    <w:rsid w:val="00B53F3E"/>
    <w:rsid w:val="00B544E8"/>
    <w:rsid w:val="00B55564"/>
    <w:rsid w:val="00B5564B"/>
    <w:rsid w:val="00B61FEB"/>
    <w:rsid w:val="00B62A24"/>
    <w:rsid w:val="00B6347D"/>
    <w:rsid w:val="00B6471D"/>
    <w:rsid w:val="00B64798"/>
    <w:rsid w:val="00B64D30"/>
    <w:rsid w:val="00B65BE4"/>
    <w:rsid w:val="00B71FE3"/>
    <w:rsid w:val="00B72224"/>
    <w:rsid w:val="00B73225"/>
    <w:rsid w:val="00B73901"/>
    <w:rsid w:val="00B739A5"/>
    <w:rsid w:val="00B7549C"/>
    <w:rsid w:val="00B7743A"/>
    <w:rsid w:val="00B8007A"/>
    <w:rsid w:val="00B828F3"/>
    <w:rsid w:val="00B955F6"/>
    <w:rsid w:val="00B95819"/>
    <w:rsid w:val="00BA04C5"/>
    <w:rsid w:val="00BA0616"/>
    <w:rsid w:val="00BA1ABD"/>
    <w:rsid w:val="00BA1FF2"/>
    <w:rsid w:val="00BA2FF9"/>
    <w:rsid w:val="00BA301E"/>
    <w:rsid w:val="00BA3178"/>
    <w:rsid w:val="00BA3AA7"/>
    <w:rsid w:val="00BA4CD1"/>
    <w:rsid w:val="00BA7CDD"/>
    <w:rsid w:val="00BB2D85"/>
    <w:rsid w:val="00BB632D"/>
    <w:rsid w:val="00BC06EA"/>
    <w:rsid w:val="00BC12F7"/>
    <w:rsid w:val="00BC22CC"/>
    <w:rsid w:val="00BC3852"/>
    <w:rsid w:val="00BC5801"/>
    <w:rsid w:val="00BC5DD9"/>
    <w:rsid w:val="00BC72CC"/>
    <w:rsid w:val="00BC74C1"/>
    <w:rsid w:val="00BC7B99"/>
    <w:rsid w:val="00BD0020"/>
    <w:rsid w:val="00BD0DAB"/>
    <w:rsid w:val="00BD128C"/>
    <w:rsid w:val="00BD26DB"/>
    <w:rsid w:val="00BD37D6"/>
    <w:rsid w:val="00BD50D0"/>
    <w:rsid w:val="00BD61D1"/>
    <w:rsid w:val="00BD7912"/>
    <w:rsid w:val="00BD7F7C"/>
    <w:rsid w:val="00BE06C1"/>
    <w:rsid w:val="00BE14E0"/>
    <w:rsid w:val="00BE2039"/>
    <w:rsid w:val="00BE2F7B"/>
    <w:rsid w:val="00BE6065"/>
    <w:rsid w:val="00BE7226"/>
    <w:rsid w:val="00BF0AEE"/>
    <w:rsid w:val="00BF5121"/>
    <w:rsid w:val="00BF7388"/>
    <w:rsid w:val="00C001AD"/>
    <w:rsid w:val="00C007A1"/>
    <w:rsid w:val="00C01B14"/>
    <w:rsid w:val="00C0213D"/>
    <w:rsid w:val="00C03EAF"/>
    <w:rsid w:val="00C05412"/>
    <w:rsid w:val="00C06E68"/>
    <w:rsid w:val="00C1221E"/>
    <w:rsid w:val="00C14AAC"/>
    <w:rsid w:val="00C1577D"/>
    <w:rsid w:val="00C15BCA"/>
    <w:rsid w:val="00C16BB9"/>
    <w:rsid w:val="00C17001"/>
    <w:rsid w:val="00C17FFB"/>
    <w:rsid w:val="00C201A5"/>
    <w:rsid w:val="00C20BBE"/>
    <w:rsid w:val="00C236CB"/>
    <w:rsid w:val="00C24C9E"/>
    <w:rsid w:val="00C25B18"/>
    <w:rsid w:val="00C25E2E"/>
    <w:rsid w:val="00C264E4"/>
    <w:rsid w:val="00C3126A"/>
    <w:rsid w:val="00C33353"/>
    <w:rsid w:val="00C337EC"/>
    <w:rsid w:val="00C35046"/>
    <w:rsid w:val="00C36224"/>
    <w:rsid w:val="00C405EF"/>
    <w:rsid w:val="00C44D02"/>
    <w:rsid w:val="00C44DC5"/>
    <w:rsid w:val="00C463F7"/>
    <w:rsid w:val="00C471D1"/>
    <w:rsid w:val="00C50642"/>
    <w:rsid w:val="00C5168C"/>
    <w:rsid w:val="00C51817"/>
    <w:rsid w:val="00C53DEF"/>
    <w:rsid w:val="00C54CD4"/>
    <w:rsid w:val="00C563A0"/>
    <w:rsid w:val="00C618F6"/>
    <w:rsid w:val="00C63ADD"/>
    <w:rsid w:val="00C63B2A"/>
    <w:rsid w:val="00C658A4"/>
    <w:rsid w:val="00C66BA5"/>
    <w:rsid w:val="00C67216"/>
    <w:rsid w:val="00C67244"/>
    <w:rsid w:val="00C7159B"/>
    <w:rsid w:val="00C73FB2"/>
    <w:rsid w:val="00C7797C"/>
    <w:rsid w:val="00C80371"/>
    <w:rsid w:val="00C82430"/>
    <w:rsid w:val="00C85277"/>
    <w:rsid w:val="00C871AA"/>
    <w:rsid w:val="00C874DE"/>
    <w:rsid w:val="00C9004E"/>
    <w:rsid w:val="00C90109"/>
    <w:rsid w:val="00C90514"/>
    <w:rsid w:val="00C905B2"/>
    <w:rsid w:val="00C9079A"/>
    <w:rsid w:val="00C908E8"/>
    <w:rsid w:val="00C90F41"/>
    <w:rsid w:val="00C93273"/>
    <w:rsid w:val="00C95C24"/>
    <w:rsid w:val="00C95C88"/>
    <w:rsid w:val="00C95E6B"/>
    <w:rsid w:val="00C9709C"/>
    <w:rsid w:val="00CA0099"/>
    <w:rsid w:val="00CA042B"/>
    <w:rsid w:val="00CA1456"/>
    <w:rsid w:val="00CA47F7"/>
    <w:rsid w:val="00CA4CA5"/>
    <w:rsid w:val="00CA4FFD"/>
    <w:rsid w:val="00CB0020"/>
    <w:rsid w:val="00CB1325"/>
    <w:rsid w:val="00CB2B20"/>
    <w:rsid w:val="00CB33FF"/>
    <w:rsid w:val="00CB364A"/>
    <w:rsid w:val="00CB5BCE"/>
    <w:rsid w:val="00CB7B0F"/>
    <w:rsid w:val="00CC0D1F"/>
    <w:rsid w:val="00CC1260"/>
    <w:rsid w:val="00CC2890"/>
    <w:rsid w:val="00CC2E3B"/>
    <w:rsid w:val="00CC7E76"/>
    <w:rsid w:val="00CD104B"/>
    <w:rsid w:val="00CD3158"/>
    <w:rsid w:val="00CD36FE"/>
    <w:rsid w:val="00CD3BA6"/>
    <w:rsid w:val="00CD416A"/>
    <w:rsid w:val="00CD5DD1"/>
    <w:rsid w:val="00CD6941"/>
    <w:rsid w:val="00CE0629"/>
    <w:rsid w:val="00CE071B"/>
    <w:rsid w:val="00CE1745"/>
    <w:rsid w:val="00CE5AE0"/>
    <w:rsid w:val="00CE7A37"/>
    <w:rsid w:val="00CF3F24"/>
    <w:rsid w:val="00CF5CB7"/>
    <w:rsid w:val="00CF6635"/>
    <w:rsid w:val="00CF6850"/>
    <w:rsid w:val="00CF72A4"/>
    <w:rsid w:val="00D04589"/>
    <w:rsid w:val="00D10526"/>
    <w:rsid w:val="00D118E2"/>
    <w:rsid w:val="00D12C03"/>
    <w:rsid w:val="00D14B55"/>
    <w:rsid w:val="00D17684"/>
    <w:rsid w:val="00D20C9F"/>
    <w:rsid w:val="00D2267D"/>
    <w:rsid w:val="00D22721"/>
    <w:rsid w:val="00D263AD"/>
    <w:rsid w:val="00D27D3A"/>
    <w:rsid w:val="00D3072B"/>
    <w:rsid w:val="00D30E5A"/>
    <w:rsid w:val="00D31778"/>
    <w:rsid w:val="00D31EC2"/>
    <w:rsid w:val="00D32469"/>
    <w:rsid w:val="00D33657"/>
    <w:rsid w:val="00D34B3E"/>
    <w:rsid w:val="00D35F82"/>
    <w:rsid w:val="00D37FB1"/>
    <w:rsid w:val="00D40730"/>
    <w:rsid w:val="00D407A4"/>
    <w:rsid w:val="00D415C9"/>
    <w:rsid w:val="00D42233"/>
    <w:rsid w:val="00D431F7"/>
    <w:rsid w:val="00D43649"/>
    <w:rsid w:val="00D43E01"/>
    <w:rsid w:val="00D44DEA"/>
    <w:rsid w:val="00D45416"/>
    <w:rsid w:val="00D45BB9"/>
    <w:rsid w:val="00D4639F"/>
    <w:rsid w:val="00D479B2"/>
    <w:rsid w:val="00D479D5"/>
    <w:rsid w:val="00D47B4B"/>
    <w:rsid w:val="00D502B2"/>
    <w:rsid w:val="00D51050"/>
    <w:rsid w:val="00D575AC"/>
    <w:rsid w:val="00D579DD"/>
    <w:rsid w:val="00D6297F"/>
    <w:rsid w:val="00D64FEE"/>
    <w:rsid w:val="00D70076"/>
    <w:rsid w:val="00D70DD9"/>
    <w:rsid w:val="00D722DD"/>
    <w:rsid w:val="00D73384"/>
    <w:rsid w:val="00D747CB"/>
    <w:rsid w:val="00D74AD1"/>
    <w:rsid w:val="00D76FB6"/>
    <w:rsid w:val="00D7755F"/>
    <w:rsid w:val="00D84290"/>
    <w:rsid w:val="00D859F7"/>
    <w:rsid w:val="00D85F90"/>
    <w:rsid w:val="00D86091"/>
    <w:rsid w:val="00D87CFD"/>
    <w:rsid w:val="00D928BA"/>
    <w:rsid w:val="00D95E97"/>
    <w:rsid w:val="00D9692E"/>
    <w:rsid w:val="00DA0944"/>
    <w:rsid w:val="00DA0ECE"/>
    <w:rsid w:val="00DA2E64"/>
    <w:rsid w:val="00DA3019"/>
    <w:rsid w:val="00DA3A16"/>
    <w:rsid w:val="00DA4D78"/>
    <w:rsid w:val="00DA5A32"/>
    <w:rsid w:val="00DA66C6"/>
    <w:rsid w:val="00DA6DFA"/>
    <w:rsid w:val="00DA7BD1"/>
    <w:rsid w:val="00DB13C2"/>
    <w:rsid w:val="00DB1DA0"/>
    <w:rsid w:val="00DB2C58"/>
    <w:rsid w:val="00DB316E"/>
    <w:rsid w:val="00DB3B78"/>
    <w:rsid w:val="00DC0931"/>
    <w:rsid w:val="00DC186B"/>
    <w:rsid w:val="00DC1A7E"/>
    <w:rsid w:val="00DC1F78"/>
    <w:rsid w:val="00DC21DB"/>
    <w:rsid w:val="00DC22F2"/>
    <w:rsid w:val="00DC2DFD"/>
    <w:rsid w:val="00DC30C6"/>
    <w:rsid w:val="00DC50C3"/>
    <w:rsid w:val="00DC5F05"/>
    <w:rsid w:val="00DD2219"/>
    <w:rsid w:val="00DD648E"/>
    <w:rsid w:val="00DD6B92"/>
    <w:rsid w:val="00DD6FA4"/>
    <w:rsid w:val="00DD7C15"/>
    <w:rsid w:val="00DE3C51"/>
    <w:rsid w:val="00DE4667"/>
    <w:rsid w:val="00DE550A"/>
    <w:rsid w:val="00DE5C20"/>
    <w:rsid w:val="00DE711E"/>
    <w:rsid w:val="00DE7722"/>
    <w:rsid w:val="00DF06CC"/>
    <w:rsid w:val="00DF1261"/>
    <w:rsid w:val="00DF1EE3"/>
    <w:rsid w:val="00DF3DB8"/>
    <w:rsid w:val="00DF4026"/>
    <w:rsid w:val="00DF41F4"/>
    <w:rsid w:val="00DF54B3"/>
    <w:rsid w:val="00DF55C7"/>
    <w:rsid w:val="00DF5FD7"/>
    <w:rsid w:val="00DF637C"/>
    <w:rsid w:val="00DF6B42"/>
    <w:rsid w:val="00DF7A92"/>
    <w:rsid w:val="00E01437"/>
    <w:rsid w:val="00E0145B"/>
    <w:rsid w:val="00E01BF7"/>
    <w:rsid w:val="00E02132"/>
    <w:rsid w:val="00E045FF"/>
    <w:rsid w:val="00E04C7A"/>
    <w:rsid w:val="00E05FDA"/>
    <w:rsid w:val="00E0693F"/>
    <w:rsid w:val="00E070FE"/>
    <w:rsid w:val="00E07B73"/>
    <w:rsid w:val="00E16B6C"/>
    <w:rsid w:val="00E1731F"/>
    <w:rsid w:val="00E176A5"/>
    <w:rsid w:val="00E179D1"/>
    <w:rsid w:val="00E17C65"/>
    <w:rsid w:val="00E2113A"/>
    <w:rsid w:val="00E21498"/>
    <w:rsid w:val="00E26B6B"/>
    <w:rsid w:val="00E275EC"/>
    <w:rsid w:val="00E30034"/>
    <w:rsid w:val="00E31AE4"/>
    <w:rsid w:val="00E32254"/>
    <w:rsid w:val="00E351F6"/>
    <w:rsid w:val="00E36598"/>
    <w:rsid w:val="00E37916"/>
    <w:rsid w:val="00E41C8C"/>
    <w:rsid w:val="00E421F9"/>
    <w:rsid w:val="00E4289D"/>
    <w:rsid w:val="00E4414A"/>
    <w:rsid w:val="00E44287"/>
    <w:rsid w:val="00E47894"/>
    <w:rsid w:val="00E5102E"/>
    <w:rsid w:val="00E51C36"/>
    <w:rsid w:val="00E52EAE"/>
    <w:rsid w:val="00E554E7"/>
    <w:rsid w:val="00E55FA0"/>
    <w:rsid w:val="00E576BE"/>
    <w:rsid w:val="00E6071A"/>
    <w:rsid w:val="00E64873"/>
    <w:rsid w:val="00E64B15"/>
    <w:rsid w:val="00E65FB3"/>
    <w:rsid w:val="00E674C7"/>
    <w:rsid w:val="00E67F0D"/>
    <w:rsid w:val="00E7117C"/>
    <w:rsid w:val="00E71280"/>
    <w:rsid w:val="00E72ADF"/>
    <w:rsid w:val="00E74DAE"/>
    <w:rsid w:val="00E75CCB"/>
    <w:rsid w:val="00E75F04"/>
    <w:rsid w:val="00E814FF"/>
    <w:rsid w:val="00E82299"/>
    <w:rsid w:val="00E83E93"/>
    <w:rsid w:val="00E856AC"/>
    <w:rsid w:val="00E90E44"/>
    <w:rsid w:val="00E91602"/>
    <w:rsid w:val="00E91C6C"/>
    <w:rsid w:val="00E91F18"/>
    <w:rsid w:val="00E92725"/>
    <w:rsid w:val="00E93593"/>
    <w:rsid w:val="00E94D26"/>
    <w:rsid w:val="00E94F09"/>
    <w:rsid w:val="00E95C72"/>
    <w:rsid w:val="00E96994"/>
    <w:rsid w:val="00E96FD0"/>
    <w:rsid w:val="00EA1492"/>
    <w:rsid w:val="00EA3A49"/>
    <w:rsid w:val="00EA4462"/>
    <w:rsid w:val="00EA4E14"/>
    <w:rsid w:val="00EA5AC2"/>
    <w:rsid w:val="00EA6067"/>
    <w:rsid w:val="00EA6CEC"/>
    <w:rsid w:val="00EB221D"/>
    <w:rsid w:val="00EB2B34"/>
    <w:rsid w:val="00EB336F"/>
    <w:rsid w:val="00EB4751"/>
    <w:rsid w:val="00EB6C84"/>
    <w:rsid w:val="00EB790E"/>
    <w:rsid w:val="00EC359A"/>
    <w:rsid w:val="00EC4306"/>
    <w:rsid w:val="00EC433E"/>
    <w:rsid w:val="00EC55B6"/>
    <w:rsid w:val="00EC57DA"/>
    <w:rsid w:val="00EC57E1"/>
    <w:rsid w:val="00EC6189"/>
    <w:rsid w:val="00ED1556"/>
    <w:rsid w:val="00ED3952"/>
    <w:rsid w:val="00ED47B5"/>
    <w:rsid w:val="00ED65E1"/>
    <w:rsid w:val="00ED6F49"/>
    <w:rsid w:val="00ED7C0E"/>
    <w:rsid w:val="00EE1105"/>
    <w:rsid w:val="00EE2BBC"/>
    <w:rsid w:val="00EE468D"/>
    <w:rsid w:val="00EE4D0C"/>
    <w:rsid w:val="00EF3489"/>
    <w:rsid w:val="00EF3D88"/>
    <w:rsid w:val="00EF5392"/>
    <w:rsid w:val="00EF57ED"/>
    <w:rsid w:val="00EF5A16"/>
    <w:rsid w:val="00EF5D79"/>
    <w:rsid w:val="00EF5DF1"/>
    <w:rsid w:val="00EF6F04"/>
    <w:rsid w:val="00F000E3"/>
    <w:rsid w:val="00F005BD"/>
    <w:rsid w:val="00F02706"/>
    <w:rsid w:val="00F0308D"/>
    <w:rsid w:val="00F046A7"/>
    <w:rsid w:val="00F05001"/>
    <w:rsid w:val="00F051F9"/>
    <w:rsid w:val="00F0597A"/>
    <w:rsid w:val="00F06D1C"/>
    <w:rsid w:val="00F10A6B"/>
    <w:rsid w:val="00F1154B"/>
    <w:rsid w:val="00F148D6"/>
    <w:rsid w:val="00F15684"/>
    <w:rsid w:val="00F158B4"/>
    <w:rsid w:val="00F16212"/>
    <w:rsid w:val="00F175D7"/>
    <w:rsid w:val="00F17C1A"/>
    <w:rsid w:val="00F2035B"/>
    <w:rsid w:val="00F20899"/>
    <w:rsid w:val="00F22DD3"/>
    <w:rsid w:val="00F24B7F"/>
    <w:rsid w:val="00F24E6B"/>
    <w:rsid w:val="00F26DB1"/>
    <w:rsid w:val="00F272EC"/>
    <w:rsid w:val="00F2788B"/>
    <w:rsid w:val="00F32152"/>
    <w:rsid w:val="00F32763"/>
    <w:rsid w:val="00F33F74"/>
    <w:rsid w:val="00F34FAB"/>
    <w:rsid w:val="00F40B89"/>
    <w:rsid w:val="00F45A92"/>
    <w:rsid w:val="00F464E7"/>
    <w:rsid w:val="00F46931"/>
    <w:rsid w:val="00F46A16"/>
    <w:rsid w:val="00F46D54"/>
    <w:rsid w:val="00F47FA5"/>
    <w:rsid w:val="00F50282"/>
    <w:rsid w:val="00F531E6"/>
    <w:rsid w:val="00F54AB3"/>
    <w:rsid w:val="00F54F12"/>
    <w:rsid w:val="00F604BB"/>
    <w:rsid w:val="00F614C4"/>
    <w:rsid w:val="00F61D06"/>
    <w:rsid w:val="00F63BE1"/>
    <w:rsid w:val="00F64DF3"/>
    <w:rsid w:val="00F672BB"/>
    <w:rsid w:val="00F67529"/>
    <w:rsid w:val="00F70414"/>
    <w:rsid w:val="00F73202"/>
    <w:rsid w:val="00F7360D"/>
    <w:rsid w:val="00F74643"/>
    <w:rsid w:val="00F749D2"/>
    <w:rsid w:val="00F76EF6"/>
    <w:rsid w:val="00F7734A"/>
    <w:rsid w:val="00F77770"/>
    <w:rsid w:val="00F777A0"/>
    <w:rsid w:val="00F81F69"/>
    <w:rsid w:val="00F82D21"/>
    <w:rsid w:val="00F841BC"/>
    <w:rsid w:val="00F862BD"/>
    <w:rsid w:val="00F862E0"/>
    <w:rsid w:val="00F879D3"/>
    <w:rsid w:val="00F902C4"/>
    <w:rsid w:val="00F90432"/>
    <w:rsid w:val="00F91EC1"/>
    <w:rsid w:val="00F92B55"/>
    <w:rsid w:val="00F96082"/>
    <w:rsid w:val="00FA1599"/>
    <w:rsid w:val="00FA4556"/>
    <w:rsid w:val="00FA52C4"/>
    <w:rsid w:val="00FA58A1"/>
    <w:rsid w:val="00FA638E"/>
    <w:rsid w:val="00FA67E3"/>
    <w:rsid w:val="00FA7969"/>
    <w:rsid w:val="00FB0BBF"/>
    <w:rsid w:val="00FB0F8E"/>
    <w:rsid w:val="00FB112C"/>
    <w:rsid w:val="00FB281E"/>
    <w:rsid w:val="00FB386C"/>
    <w:rsid w:val="00FB4A9F"/>
    <w:rsid w:val="00FB6C64"/>
    <w:rsid w:val="00FC0511"/>
    <w:rsid w:val="00FC06FC"/>
    <w:rsid w:val="00FC4387"/>
    <w:rsid w:val="00FC5DE5"/>
    <w:rsid w:val="00FC775F"/>
    <w:rsid w:val="00FC7CC3"/>
    <w:rsid w:val="00FD07FD"/>
    <w:rsid w:val="00FD500D"/>
    <w:rsid w:val="00FD5989"/>
    <w:rsid w:val="00FD7A97"/>
    <w:rsid w:val="00FE0399"/>
    <w:rsid w:val="00FE1C16"/>
    <w:rsid w:val="00FE2FF8"/>
    <w:rsid w:val="00FE30B4"/>
    <w:rsid w:val="00FE402F"/>
    <w:rsid w:val="00FE5AE1"/>
    <w:rsid w:val="00FE5C1C"/>
    <w:rsid w:val="00FE64C6"/>
    <w:rsid w:val="00FE661F"/>
    <w:rsid w:val="00FE6BDB"/>
    <w:rsid w:val="00FF0A18"/>
    <w:rsid w:val="00FF1767"/>
    <w:rsid w:val="00FF2018"/>
    <w:rsid w:val="00FF2E48"/>
    <w:rsid w:val="00FF538F"/>
    <w:rsid w:val="00FF61D2"/>
    <w:rsid w:val="00FF69A7"/>
    <w:rsid w:val="00FF7FA5"/>
    <w:rsid w:val="06D54970"/>
    <w:rsid w:val="09C799EC"/>
    <w:rsid w:val="0B74591F"/>
    <w:rsid w:val="0C7DCF89"/>
    <w:rsid w:val="10FCAA74"/>
    <w:rsid w:val="11D7852F"/>
    <w:rsid w:val="135E517B"/>
    <w:rsid w:val="141B2C18"/>
    <w:rsid w:val="143C78E1"/>
    <w:rsid w:val="15E50B2E"/>
    <w:rsid w:val="16DF0EB6"/>
    <w:rsid w:val="1A7BFA5C"/>
    <w:rsid w:val="1B7E6775"/>
    <w:rsid w:val="1F0FB497"/>
    <w:rsid w:val="215D078C"/>
    <w:rsid w:val="22350E90"/>
    <w:rsid w:val="2279C82F"/>
    <w:rsid w:val="249F436B"/>
    <w:rsid w:val="24E96F42"/>
    <w:rsid w:val="288D6BDA"/>
    <w:rsid w:val="29E8B2AD"/>
    <w:rsid w:val="2A65B471"/>
    <w:rsid w:val="2B835068"/>
    <w:rsid w:val="2C4C8645"/>
    <w:rsid w:val="2F504EFE"/>
    <w:rsid w:val="3049527B"/>
    <w:rsid w:val="3106BC7F"/>
    <w:rsid w:val="336669F0"/>
    <w:rsid w:val="33B78D2C"/>
    <w:rsid w:val="34793806"/>
    <w:rsid w:val="3487C1AF"/>
    <w:rsid w:val="35535D8D"/>
    <w:rsid w:val="3639EFD7"/>
    <w:rsid w:val="3C7AF626"/>
    <w:rsid w:val="3CA2C49D"/>
    <w:rsid w:val="3CE86B25"/>
    <w:rsid w:val="3DFA64AD"/>
    <w:rsid w:val="3F2C48F4"/>
    <w:rsid w:val="3F47BBC0"/>
    <w:rsid w:val="4210A33C"/>
    <w:rsid w:val="42E1DB89"/>
    <w:rsid w:val="42FC78A9"/>
    <w:rsid w:val="44ACAB74"/>
    <w:rsid w:val="460ECA9C"/>
    <w:rsid w:val="46B04EE2"/>
    <w:rsid w:val="4A2DE2B2"/>
    <w:rsid w:val="4B499631"/>
    <w:rsid w:val="4B9CE862"/>
    <w:rsid w:val="4CEB5A08"/>
    <w:rsid w:val="4F3140AC"/>
    <w:rsid w:val="501D0754"/>
    <w:rsid w:val="50881738"/>
    <w:rsid w:val="5129F2A4"/>
    <w:rsid w:val="51B8D7B5"/>
    <w:rsid w:val="53AD157F"/>
    <w:rsid w:val="5724D7CB"/>
    <w:rsid w:val="58507112"/>
    <w:rsid w:val="59350489"/>
    <w:rsid w:val="5AB7AC8D"/>
    <w:rsid w:val="5B4EDFA2"/>
    <w:rsid w:val="5D8C9F08"/>
    <w:rsid w:val="5E05FA05"/>
    <w:rsid w:val="5E9F4843"/>
    <w:rsid w:val="60090F83"/>
    <w:rsid w:val="60F4E4F0"/>
    <w:rsid w:val="617C5B0A"/>
    <w:rsid w:val="6724A40A"/>
    <w:rsid w:val="689AF17D"/>
    <w:rsid w:val="69E1FAEA"/>
    <w:rsid w:val="6ED45066"/>
    <w:rsid w:val="6FE50979"/>
    <w:rsid w:val="6FE7F4BC"/>
    <w:rsid w:val="71CE69CE"/>
    <w:rsid w:val="7241D3C3"/>
    <w:rsid w:val="7346F9FE"/>
    <w:rsid w:val="75687590"/>
    <w:rsid w:val="75A41427"/>
    <w:rsid w:val="79CE3E7E"/>
    <w:rsid w:val="7A33BD4B"/>
    <w:rsid w:val="7B373252"/>
    <w:rsid w:val="7BC1664C"/>
    <w:rsid w:val="7BFBD0C9"/>
    <w:rsid w:val="7DF4E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93806"/>
  <w15:chartTrackingRefBased/>
  <w15:docId w15:val="{5AEEE275-7468-458C-98C7-9AA60C516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EC9"/>
    <w:pPr>
      <w:spacing w:after="0" w:line="240" w:lineRule="auto"/>
    </w:pPr>
    <w:rPr>
      <w:sz w:val="24"/>
      <w:szCs w:val="24"/>
      <w:lang w:val="en-AU"/>
    </w:rPr>
  </w:style>
  <w:style w:type="paragraph" w:styleId="Heading1">
    <w:name w:val="heading 1"/>
    <w:basedOn w:val="Normal"/>
    <w:next w:val="Normal"/>
    <w:link w:val="Heading1Char"/>
    <w:uiPriority w:val="9"/>
    <w:qFormat/>
    <w:rsid w:val="00A14EC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4EC9"/>
    <w:rPr>
      <w:rFonts w:asciiTheme="majorHAnsi" w:eastAsiaTheme="majorEastAsia" w:hAnsiTheme="majorHAnsi" w:cstheme="majorBidi"/>
      <w:color w:val="2F5496" w:themeColor="accent1" w:themeShade="BF"/>
      <w:sz w:val="32"/>
      <w:szCs w:val="32"/>
      <w:lang w:val="en-AU"/>
    </w:rPr>
  </w:style>
  <w:style w:type="character" w:styleId="IntenseEmphasis">
    <w:name w:val="Intense Emphasis"/>
    <w:basedOn w:val="DefaultParagraphFont"/>
    <w:uiPriority w:val="21"/>
    <w:qFormat/>
    <w:rsid w:val="00A14EC9"/>
    <w:rPr>
      <w:i/>
      <w:iCs/>
      <w:color w:val="4472C4" w:themeColor="accent1"/>
    </w:rPr>
  </w:style>
  <w:style w:type="paragraph" w:styleId="ListParagraph">
    <w:name w:val="List Paragraph"/>
    <w:basedOn w:val="Normal"/>
    <w:uiPriority w:val="34"/>
    <w:qFormat/>
    <w:rsid w:val="002C1786"/>
    <w:pPr>
      <w:ind w:left="720"/>
      <w:contextualSpacing/>
    </w:pPr>
  </w:style>
  <w:style w:type="paragraph" w:styleId="FootnoteText">
    <w:name w:val="footnote text"/>
    <w:basedOn w:val="Normal"/>
    <w:link w:val="FootnoteTextChar"/>
    <w:uiPriority w:val="99"/>
    <w:semiHidden/>
    <w:unhideWhenUsed/>
    <w:rsid w:val="002C4434"/>
    <w:rPr>
      <w:sz w:val="20"/>
      <w:szCs w:val="20"/>
    </w:rPr>
  </w:style>
  <w:style w:type="character" w:customStyle="1" w:styleId="FootnoteTextChar">
    <w:name w:val="Footnote Text Char"/>
    <w:basedOn w:val="DefaultParagraphFont"/>
    <w:link w:val="FootnoteText"/>
    <w:uiPriority w:val="99"/>
    <w:semiHidden/>
    <w:rsid w:val="002C4434"/>
    <w:rPr>
      <w:sz w:val="20"/>
      <w:szCs w:val="20"/>
      <w:lang w:val="en-AU"/>
    </w:rPr>
  </w:style>
  <w:style w:type="character" w:styleId="FootnoteReference">
    <w:name w:val="footnote reference"/>
    <w:basedOn w:val="DefaultParagraphFont"/>
    <w:uiPriority w:val="99"/>
    <w:semiHidden/>
    <w:unhideWhenUsed/>
    <w:rsid w:val="002C4434"/>
    <w:rPr>
      <w:vertAlign w:val="superscript"/>
    </w:rPr>
  </w:style>
  <w:style w:type="character" w:styleId="CommentReference">
    <w:name w:val="annotation reference"/>
    <w:basedOn w:val="DefaultParagraphFont"/>
    <w:uiPriority w:val="99"/>
    <w:semiHidden/>
    <w:unhideWhenUsed/>
    <w:rsid w:val="00A62B0D"/>
    <w:rPr>
      <w:sz w:val="16"/>
      <w:szCs w:val="16"/>
    </w:rPr>
  </w:style>
  <w:style w:type="paragraph" w:styleId="CommentText">
    <w:name w:val="annotation text"/>
    <w:basedOn w:val="Normal"/>
    <w:link w:val="CommentTextChar"/>
    <w:uiPriority w:val="99"/>
    <w:unhideWhenUsed/>
    <w:rsid w:val="00A62B0D"/>
    <w:rPr>
      <w:sz w:val="20"/>
      <w:szCs w:val="20"/>
    </w:rPr>
  </w:style>
  <w:style w:type="character" w:customStyle="1" w:styleId="CommentTextChar">
    <w:name w:val="Comment Text Char"/>
    <w:basedOn w:val="DefaultParagraphFont"/>
    <w:link w:val="CommentText"/>
    <w:uiPriority w:val="99"/>
    <w:rsid w:val="00A62B0D"/>
    <w:rPr>
      <w:sz w:val="20"/>
      <w:szCs w:val="20"/>
      <w:lang w:val="en-AU"/>
    </w:rPr>
  </w:style>
  <w:style w:type="paragraph" w:styleId="CommentSubject">
    <w:name w:val="annotation subject"/>
    <w:basedOn w:val="CommentText"/>
    <w:next w:val="CommentText"/>
    <w:link w:val="CommentSubjectChar"/>
    <w:uiPriority w:val="99"/>
    <w:semiHidden/>
    <w:unhideWhenUsed/>
    <w:rsid w:val="00A62B0D"/>
    <w:rPr>
      <w:b/>
      <w:bCs/>
    </w:rPr>
  </w:style>
  <w:style w:type="character" w:customStyle="1" w:styleId="CommentSubjectChar">
    <w:name w:val="Comment Subject Char"/>
    <w:basedOn w:val="CommentTextChar"/>
    <w:link w:val="CommentSubject"/>
    <w:uiPriority w:val="99"/>
    <w:semiHidden/>
    <w:rsid w:val="00A62B0D"/>
    <w:rPr>
      <w:b/>
      <w:bCs/>
      <w:sz w:val="20"/>
      <w:szCs w:val="20"/>
      <w:lang w:val="en-AU"/>
    </w:rPr>
  </w:style>
  <w:style w:type="paragraph" w:styleId="Header">
    <w:name w:val="header"/>
    <w:basedOn w:val="Normal"/>
    <w:link w:val="HeaderChar"/>
    <w:uiPriority w:val="99"/>
    <w:semiHidden/>
    <w:unhideWhenUsed/>
    <w:rsid w:val="0090387F"/>
    <w:pPr>
      <w:tabs>
        <w:tab w:val="center" w:pos="4513"/>
        <w:tab w:val="right" w:pos="9026"/>
      </w:tabs>
    </w:pPr>
  </w:style>
  <w:style w:type="character" w:customStyle="1" w:styleId="HeaderChar">
    <w:name w:val="Header Char"/>
    <w:basedOn w:val="DefaultParagraphFont"/>
    <w:link w:val="Header"/>
    <w:uiPriority w:val="99"/>
    <w:semiHidden/>
    <w:rsid w:val="0090387F"/>
    <w:rPr>
      <w:sz w:val="24"/>
      <w:szCs w:val="24"/>
      <w:lang w:val="en-AU"/>
    </w:rPr>
  </w:style>
  <w:style w:type="paragraph" w:styleId="Footer">
    <w:name w:val="footer"/>
    <w:basedOn w:val="Normal"/>
    <w:link w:val="FooterChar"/>
    <w:uiPriority w:val="99"/>
    <w:semiHidden/>
    <w:unhideWhenUsed/>
    <w:rsid w:val="0090387F"/>
    <w:pPr>
      <w:tabs>
        <w:tab w:val="center" w:pos="4513"/>
        <w:tab w:val="right" w:pos="9026"/>
      </w:tabs>
    </w:pPr>
  </w:style>
  <w:style w:type="character" w:customStyle="1" w:styleId="FooterChar">
    <w:name w:val="Footer Char"/>
    <w:basedOn w:val="DefaultParagraphFont"/>
    <w:link w:val="Footer"/>
    <w:uiPriority w:val="99"/>
    <w:semiHidden/>
    <w:rsid w:val="0090387F"/>
    <w:rPr>
      <w:sz w:val="24"/>
      <w:szCs w:val="24"/>
      <w:lang w:val="en-AU"/>
    </w:rPr>
  </w:style>
  <w:style w:type="paragraph" w:styleId="ListBullet">
    <w:name w:val="List Bullet"/>
    <w:basedOn w:val="Normal"/>
    <w:uiPriority w:val="99"/>
    <w:unhideWhenUsed/>
    <w:rsid w:val="00EC57DA"/>
    <w:pPr>
      <w:contextualSpacing/>
    </w:pPr>
  </w:style>
  <w:style w:type="paragraph" w:customStyle="1" w:styleId="Default">
    <w:name w:val="Default"/>
    <w:rsid w:val="00051D9B"/>
    <w:pPr>
      <w:autoSpaceDE w:val="0"/>
      <w:autoSpaceDN w:val="0"/>
      <w:adjustRightInd w:val="0"/>
      <w:spacing w:after="0" w:line="240" w:lineRule="auto"/>
    </w:pPr>
    <w:rPr>
      <w:rFonts w:ascii="Times New Roman" w:hAnsi="Times New Roman" w:cs="Times New Roman"/>
      <w:color w:val="000000"/>
      <w:sz w:val="24"/>
      <w:szCs w:val="24"/>
      <w:lang w:val="en-AU"/>
    </w:rPr>
  </w:style>
  <w:style w:type="paragraph" w:styleId="Revision">
    <w:name w:val="Revision"/>
    <w:hidden/>
    <w:uiPriority w:val="99"/>
    <w:semiHidden/>
    <w:rsid w:val="00F2035B"/>
    <w:pPr>
      <w:spacing w:after="0" w:line="240" w:lineRule="auto"/>
    </w:pPr>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3349372-459e-459c-a079-c06e908882bb" xsi:nil="true"/>
    <lcf76f155ced4ddcb4097134ff3c332f xmlns="0e04c79f-6120-4075-902b-36a60a1b9caf">
      <Terms xmlns="http://schemas.microsoft.com/office/infopath/2007/PartnerControls"/>
    </lcf76f155ced4ddcb4097134ff3c332f>
    <SharedWithUsers xmlns="13349372-459e-459c-a079-c06e908882bb">
      <UserInfo>
        <DisplayName>SharingLinks.e9a91dd3-4215-46ee-85ae-034f729012f6.OrganizationEdit.76e9796f-58fa-4912-b7dd-0a003a031383</DisplayName>
        <AccountId>90</AccountId>
        <AccountType/>
      </UserInfo>
      <UserInfo>
        <DisplayName>SharingLinks.3f249980-9a79-4f8c-bf17-5b34f04b6489.OrganizationView.bb875a92-44bc-4720-88c4-f1d79f1f7a5d</DisplayName>
        <AccountId>920</AccountId>
        <AccountType/>
      </UserInfo>
      <UserInfo>
        <DisplayName>Jemilah Hallinan</DisplayName>
        <AccountId>805</AccountId>
        <AccountType/>
      </UserInfo>
    </SharedWithUsers>
    <Tag xmlns="0e04c79f-6120-4075-902b-36a60a1b9ca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D19541A1702749808E67B73ABC6B26" ma:contentTypeVersion="18" ma:contentTypeDescription="Create a new document." ma:contentTypeScope="" ma:versionID="f67069f66dd256ee270034dfbe6e1dca">
  <xsd:schema xmlns:xsd="http://www.w3.org/2001/XMLSchema" xmlns:xs="http://www.w3.org/2001/XMLSchema" xmlns:p="http://schemas.microsoft.com/office/2006/metadata/properties" xmlns:ns2="0e04c79f-6120-4075-902b-36a60a1b9caf" xmlns:ns3="13349372-459e-459c-a079-c06e908882bb" targetNamespace="http://schemas.microsoft.com/office/2006/metadata/properties" ma:root="true" ma:fieldsID="0b6a5f9c095c0b55f96556e02a100907" ns2:_="" ns3:_="">
    <xsd:import namespace="0e04c79f-6120-4075-902b-36a60a1b9caf"/>
    <xsd:import namespace="13349372-459e-459c-a079-c06e908882bb"/>
    <xsd:element name="properties">
      <xsd:complexType>
        <xsd:sequence>
          <xsd:element name="documentManagement">
            <xsd:complexType>
              <xsd:all>
                <xsd:element ref="ns2:Tag"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04c79f-6120-4075-902b-36a60a1b9caf" elementFormDefault="qualified">
    <xsd:import namespace="http://schemas.microsoft.com/office/2006/documentManagement/types"/>
    <xsd:import namespace="http://schemas.microsoft.com/office/infopath/2007/PartnerControls"/>
    <xsd:element name="Tag" ma:index="2" nillable="true" ma:displayName="Tag" ma:internalName="Tag"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hidden="true" ma:internalName="MediaServiceLocation" ma:readOnly="true">
      <xsd:simpleType>
        <xsd:restriction base="dms:Text"/>
      </xsd:simpleType>
    </xsd:element>
    <xsd:element name="MediaServiceOCR" ma:index="19" nillable="true" ma:displayName="Extracted Text" ma:hidden="true" ma:internalName="MediaServiceOCR" ma:readOnly="true">
      <xsd:simpleType>
        <xsd:restriction base="dms:Not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b62061d-a74f-4582-b2fa-6494eae540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49372-459e-459c-a079-c06e908882bb"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element name="TaxCatchAll" ma:index="24" nillable="true" ma:displayName="Taxonomy Catch All Column" ma:hidden="true" ma:list="{a5b801df-e8ca-420c-9d5d-40ee046fdc06}" ma:internalName="TaxCatchAll" ma:showField="CatchAllData" ma:web="13349372-459e-459c-a079-c06e908882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932C12-B8C9-4465-B8D1-D3EB2122D23A}">
  <ds:schemaRefs>
    <ds:schemaRef ds:uri="http://schemas.openxmlformats.org/officeDocument/2006/bibliography"/>
  </ds:schemaRefs>
</ds:datastoreItem>
</file>

<file path=customXml/itemProps2.xml><?xml version="1.0" encoding="utf-8"?>
<ds:datastoreItem xmlns:ds="http://schemas.openxmlformats.org/officeDocument/2006/customXml" ds:itemID="{73BBF4CC-64F0-4CD8-B009-9A5991B3C888}">
  <ds:schemaRefs>
    <ds:schemaRef ds:uri="http://schemas.microsoft.com/sharepoint/v3/contenttype/forms"/>
  </ds:schemaRefs>
</ds:datastoreItem>
</file>

<file path=customXml/itemProps3.xml><?xml version="1.0" encoding="utf-8"?>
<ds:datastoreItem xmlns:ds="http://schemas.openxmlformats.org/officeDocument/2006/customXml" ds:itemID="{6BA1C3CA-40A1-4584-9D32-F0AA15E49CC0}">
  <ds:schemaRefs>
    <ds:schemaRef ds:uri="http://schemas.microsoft.com/office/2006/metadata/properties"/>
    <ds:schemaRef ds:uri="http://schemas.microsoft.com/office/infopath/2007/PartnerControls"/>
    <ds:schemaRef ds:uri="13349372-459e-459c-a079-c06e908882bb"/>
    <ds:schemaRef ds:uri="0e04c79f-6120-4075-902b-36a60a1b9caf"/>
  </ds:schemaRefs>
</ds:datastoreItem>
</file>

<file path=customXml/itemProps4.xml><?xml version="1.0" encoding="utf-8"?>
<ds:datastoreItem xmlns:ds="http://schemas.openxmlformats.org/officeDocument/2006/customXml" ds:itemID="{B073B55B-C5DA-41D5-AB0A-33AEC5249C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04c79f-6120-4075-902b-36a60a1b9caf"/>
    <ds:schemaRef ds:uri="13349372-459e-459c-a079-c06e908882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3329</Words>
  <Characters>18979</Characters>
  <Application>Microsoft Office Word</Application>
  <DocSecurity>0</DocSecurity>
  <Lines>158</Lines>
  <Paragraphs>44</Paragraphs>
  <ScaleCrop>false</ScaleCrop>
  <Company/>
  <LinksUpToDate>false</LinksUpToDate>
  <CharactersWithSpaces>22264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Danaher</dc:creator>
  <cp:keywords/>
  <dc:description/>
  <cp:lastModifiedBy>Sean Ryan</cp:lastModifiedBy>
  <cp:revision>2</cp:revision>
  <dcterms:created xsi:type="dcterms:W3CDTF">2023-01-31T02:09:00Z</dcterms:created>
  <dcterms:modified xsi:type="dcterms:W3CDTF">2023-01-31T02:09:00Z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0x0101004AD19541A1702749808E67B73ABC6B26</vt:lpwstr>
  </property>
  <property fmtid="{D5CDD505-2E9C-101B-9397-08002B2CF9AE}" pid="3" name="MediaServiceImageTags">
    <vt:lpwstr/>
  </property>
</Properties>
</file>